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3C1D" w14:textId="77777777" w:rsidR="00F03B57" w:rsidRDefault="00F03B57" w:rsidP="00F03B57">
      <w:pPr>
        <w:widowControl w:val="0"/>
        <w:suppressAutoHyphens/>
        <w:autoSpaceDN w:val="0"/>
        <w:jc w:val="center"/>
        <w:rPr>
          <w:sz w:val="50"/>
          <w:szCs w:val="50"/>
        </w:rPr>
      </w:pPr>
    </w:p>
    <w:p w14:paraId="44A94BD2" w14:textId="77777777" w:rsidR="00F03B57" w:rsidRDefault="00F03B57" w:rsidP="00F03B57">
      <w:pPr>
        <w:widowControl w:val="0"/>
        <w:suppressAutoHyphens/>
        <w:autoSpaceDN w:val="0"/>
        <w:jc w:val="center"/>
        <w:rPr>
          <w:sz w:val="50"/>
          <w:szCs w:val="50"/>
        </w:rPr>
      </w:pPr>
    </w:p>
    <w:p w14:paraId="6826E1AF" w14:textId="77777777" w:rsidR="00F03B57" w:rsidRDefault="00F03B57" w:rsidP="00F03B57">
      <w:pPr>
        <w:widowControl w:val="0"/>
        <w:suppressAutoHyphens/>
        <w:autoSpaceDN w:val="0"/>
        <w:jc w:val="center"/>
        <w:rPr>
          <w:sz w:val="50"/>
          <w:szCs w:val="50"/>
        </w:rPr>
      </w:pPr>
    </w:p>
    <w:p w14:paraId="4A8E0709" w14:textId="77777777" w:rsidR="00F03B57" w:rsidRDefault="00F03B57" w:rsidP="00F03B57">
      <w:pPr>
        <w:widowControl w:val="0"/>
        <w:suppressAutoHyphens/>
        <w:autoSpaceDN w:val="0"/>
        <w:rPr>
          <w:sz w:val="50"/>
          <w:szCs w:val="50"/>
        </w:rPr>
      </w:pPr>
    </w:p>
    <w:p w14:paraId="2395D0C7" w14:textId="46986BC3" w:rsidR="00E97011" w:rsidRPr="00F35116" w:rsidRDefault="00911176" w:rsidP="00272F13">
      <w:pPr>
        <w:widowControl w:val="0"/>
        <w:suppressAutoHyphens/>
        <w:autoSpaceDN w:val="0"/>
        <w:spacing w:before="0" w:beforeAutospacing="0" w:after="0" w:afterAutospacing="0" w:line="276" w:lineRule="auto"/>
        <w:jc w:val="center"/>
        <w:rPr>
          <w:rFonts w:asciiTheme="minorHAnsi" w:eastAsia="SimSun" w:hAnsiTheme="minorHAnsi" w:cstheme="minorHAnsi"/>
          <w:b/>
          <w:bCs/>
          <w:noProof/>
          <w:kern w:val="3"/>
          <w:sz w:val="52"/>
          <w:szCs w:val="52"/>
          <w:lang w:eastAsia="zh-CN" w:bidi="hi-IN"/>
        </w:rPr>
      </w:pPr>
      <w:r w:rsidRPr="00435E65">
        <w:rPr>
          <w:noProof/>
          <w:sz w:val="50"/>
          <w:szCs w:val="50"/>
          <w:lang w:eastAsia="cs-CZ"/>
        </w:rPr>
        <w:drawing>
          <wp:anchor distT="0" distB="0" distL="114300" distR="114300" simplePos="0" relativeHeight="251658240" behindDoc="1" locked="0" layoutInCell="1" allowOverlap="1" wp14:anchorId="0F8AE980" wp14:editId="6339D717">
            <wp:simplePos x="0" y="0"/>
            <wp:positionH relativeFrom="margin">
              <wp:align>center</wp:align>
            </wp:positionH>
            <wp:positionV relativeFrom="margin">
              <wp:posOffset>-190057</wp:posOffset>
            </wp:positionV>
            <wp:extent cx="4618990" cy="1590675"/>
            <wp:effectExtent l="0" t="0" r="0" b="952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B57" w:rsidRPr="00F03B57">
        <w:rPr>
          <w:rFonts w:eastAsia="SimSun" w:cs="Arial"/>
          <w:b/>
          <w:bCs/>
          <w:noProof/>
          <w:kern w:val="3"/>
          <w:sz w:val="26"/>
          <w:szCs w:val="26"/>
          <w:lang w:eastAsia="zh-CN" w:bidi="hi-IN"/>
        </w:rPr>
        <w:t xml:space="preserve"> </w:t>
      </w:r>
      <w:r w:rsidR="00F03B57" w:rsidRPr="00F35116">
        <w:rPr>
          <w:rFonts w:asciiTheme="minorHAnsi" w:eastAsia="SimSun" w:hAnsiTheme="minorHAnsi" w:cstheme="minorHAnsi"/>
          <w:b/>
          <w:bCs/>
          <w:noProof/>
          <w:color w:val="1F4E79" w:themeColor="accent1" w:themeShade="80"/>
          <w:kern w:val="3"/>
          <w:sz w:val="52"/>
          <w:szCs w:val="52"/>
          <w:lang w:eastAsia="zh-CN" w:bidi="hi-IN"/>
        </w:rPr>
        <w:t>Vztah</w:t>
      </w:r>
      <w:r w:rsidR="0078216E">
        <w:rPr>
          <w:rFonts w:asciiTheme="minorHAnsi" w:eastAsia="SimSun" w:hAnsiTheme="minorHAnsi" w:cstheme="minorHAnsi"/>
          <w:b/>
          <w:bCs/>
          <w:noProof/>
          <w:color w:val="1F4E79" w:themeColor="accent1" w:themeShade="80"/>
          <w:kern w:val="3"/>
          <w:sz w:val="52"/>
          <w:szCs w:val="52"/>
          <w:lang w:eastAsia="zh-CN" w:bidi="hi-IN"/>
        </w:rPr>
        <w:t>y EU s indopacifickou oblastí z </w:t>
      </w:r>
      <w:r w:rsidR="00F03B57" w:rsidRPr="00F35116">
        <w:rPr>
          <w:rFonts w:asciiTheme="minorHAnsi" w:eastAsia="SimSun" w:hAnsiTheme="minorHAnsi" w:cstheme="minorHAnsi"/>
          <w:b/>
          <w:bCs/>
          <w:noProof/>
          <w:color w:val="1F4E79" w:themeColor="accent1" w:themeShade="80"/>
          <w:kern w:val="3"/>
          <w:sz w:val="52"/>
          <w:szCs w:val="52"/>
          <w:lang w:eastAsia="zh-CN" w:bidi="hi-IN"/>
        </w:rPr>
        <w:t>pohledu ČR</w:t>
      </w:r>
    </w:p>
    <w:p w14:paraId="1329FD79" w14:textId="77777777" w:rsidR="00F03B57" w:rsidRDefault="00F03B57" w:rsidP="00F35116">
      <w:pPr>
        <w:rPr>
          <w:rFonts w:eastAsia="Calibri"/>
        </w:rPr>
      </w:pPr>
    </w:p>
    <w:p w14:paraId="578FDB6B" w14:textId="77777777" w:rsidR="00F03B57" w:rsidRDefault="00F03B57" w:rsidP="00C32A8B">
      <w:pPr>
        <w:jc w:val="center"/>
        <w:rPr>
          <w:rFonts w:eastAsia="Calibri"/>
        </w:rPr>
      </w:pPr>
    </w:p>
    <w:p w14:paraId="7B981ECE" w14:textId="4CEDBD9C" w:rsidR="00644A72" w:rsidRPr="00272F13" w:rsidRDefault="00330ED8" w:rsidP="00C32A8B">
      <w:pPr>
        <w:jc w:val="center"/>
        <w:rPr>
          <w:rFonts w:eastAsia="Calibri" w:cs="Arial"/>
          <w:sz w:val="24"/>
        </w:rPr>
      </w:pPr>
      <w:r w:rsidRPr="00272F13">
        <w:rPr>
          <w:rFonts w:eastAsia="Calibri" w:cs="Arial"/>
          <w:sz w:val="24"/>
        </w:rPr>
        <w:t>Shrnutí a doporučení vyplývající z diskuze kulatého stolu</w:t>
      </w:r>
      <w:r w:rsidR="00C32A8B" w:rsidRPr="00272F13">
        <w:rPr>
          <w:rFonts w:eastAsia="Calibri" w:cs="Arial"/>
          <w:sz w:val="24"/>
        </w:rPr>
        <w:t xml:space="preserve"> </w:t>
      </w:r>
      <w:r w:rsidRPr="00272F13">
        <w:rPr>
          <w:rFonts w:eastAsia="Calibri" w:cs="Arial"/>
          <w:sz w:val="24"/>
        </w:rPr>
        <w:t>Národního konventu o EU</w:t>
      </w:r>
      <w:r w:rsidR="008F18BA" w:rsidRPr="00272F13">
        <w:rPr>
          <w:rFonts w:eastAsia="Calibri" w:cs="Arial"/>
          <w:sz w:val="24"/>
        </w:rPr>
        <w:t xml:space="preserve"> </w:t>
      </w:r>
      <w:r w:rsidRPr="00272F13">
        <w:rPr>
          <w:rFonts w:eastAsia="Calibri" w:cs="Arial"/>
          <w:sz w:val="24"/>
        </w:rPr>
        <w:t xml:space="preserve">konaného dne </w:t>
      </w:r>
      <w:r w:rsidR="009D6231" w:rsidRPr="00272F13">
        <w:rPr>
          <w:rFonts w:eastAsia="Calibri" w:cs="Arial"/>
          <w:sz w:val="24"/>
        </w:rPr>
        <w:t>2</w:t>
      </w:r>
      <w:r w:rsidR="00F03B57" w:rsidRPr="00272F13">
        <w:rPr>
          <w:rFonts w:eastAsia="Calibri" w:cs="Arial"/>
          <w:sz w:val="24"/>
        </w:rPr>
        <w:t>9</w:t>
      </w:r>
      <w:r w:rsidR="00F61837" w:rsidRPr="00272F13">
        <w:rPr>
          <w:rFonts w:eastAsia="Calibri" w:cs="Arial"/>
          <w:sz w:val="24"/>
        </w:rPr>
        <w:t xml:space="preserve">. </w:t>
      </w:r>
      <w:r w:rsidR="00F03B57" w:rsidRPr="00272F13">
        <w:rPr>
          <w:rFonts w:eastAsia="Calibri" w:cs="Arial"/>
          <w:sz w:val="24"/>
        </w:rPr>
        <w:t>dubna</w:t>
      </w:r>
      <w:r w:rsidR="002266BC" w:rsidRPr="00272F13">
        <w:rPr>
          <w:rFonts w:eastAsia="Calibri" w:cs="Arial"/>
          <w:sz w:val="24"/>
        </w:rPr>
        <w:t xml:space="preserve"> 20</w:t>
      </w:r>
      <w:r w:rsidR="00EA5953" w:rsidRPr="00272F13">
        <w:rPr>
          <w:rFonts w:eastAsia="Calibri" w:cs="Arial"/>
          <w:sz w:val="24"/>
        </w:rPr>
        <w:t>2</w:t>
      </w:r>
      <w:r w:rsidR="009D6231" w:rsidRPr="00272F13">
        <w:rPr>
          <w:rFonts w:eastAsia="Calibri" w:cs="Arial"/>
          <w:sz w:val="24"/>
        </w:rPr>
        <w:t>2</w:t>
      </w:r>
    </w:p>
    <w:p w14:paraId="15E2BAA0" w14:textId="77777777" w:rsidR="00644A72" w:rsidRPr="00272F13" w:rsidRDefault="00644A72" w:rsidP="00C32A8B">
      <w:pPr>
        <w:rPr>
          <w:rFonts w:cs="Arial"/>
          <w:sz w:val="24"/>
        </w:rPr>
      </w:pPr>
    </w:p>
    <w:p w14:paraId="3573AAD2" w14:textId="496730FC" w:rsidR="00784039" w:rsidRDefault="00784039" w:rsidP="00C32A8B">
      <w:pPr>
        <w:rPr>
          <w:rFonts w:cs="Arial"/>
          <w:sz w:val="24"/>
        </w:rPr>
      </w:pPr>
    </w:p>
    <w:p w14:paraId="16CEFE2E" w14:textId="7FE7007F" w:rsidR="00272F13" w:rsidRDefault="00272F13" w:rsidP="00C32A8B">
      <w:pPr>
        <w:rPr>
          <w:rFonts w:cs="Arial"/>
          <w:sz w:val="24"/>
        </w:rPr>
      </w:pPr>
    </w:p>
    <w:p w14:paraId="5C0B0A36" w14:textId="77777777" w:rsidR="00272F13" w:rsidRPr="00272F13" w:rsidRDefault="00272F13" w:rsidP="00C32A8B">
      <w:pPr>
        <w:rPr>
          <w:rFonts w:cs="Arial"/>
          <w:sz w:val="24"/>
        </w:rPr>
      </w:pPr>
    </w:p>
    <w:p w14:paraId="01480137" w14:textId="6A88B989" w:rsidR="00185F64" w:rsidRPr="00272F13" w:rsidRDefault="00185F64" w:rsidP="00272F13">
      <w:pPr>
        <w:jc w:val="center"/>
        <w:rPr>
          <w:rFonts w:cs="Arial"/>
          <w:sz w:val="24"/>
        </w:rPr>
      </w:pPr>
      <w:r w:rsidRPr="00272F13">
        <w:rPr>
          <w:rFonts w:cs="Arial"/>
          <w:sz w:val="24"/>
        </w:rPr>
        <w:t>Doporučení vypracoval</w:t>
      </w:r>
      <w:r w:rsidR="00272F13">
        <w:rPr>
          <w:rFonts w:cs="Arial"/>
          <w:sz w:val="24"/>
        </w:rPr>
        <w:t>y</w:t>
      </w:r>
      <w:bookmarkStart w:id="0" w:name="_GoBack"/>
      <w:bookmarkEnd w:id="0"/>
      <w:r w:rsidR="00517559" w:rsidRPr="00272F13">
        <w:rPr>
          <w:rFonts w:cs="Arial"/>
          <w:sz w:val="24"/>
        </w:rPr>
        <w:t xml:space="preserve"> </w:t>
      </w:r>
      <w:r w:rsidR="00F03B57" w:rsidRPr="00272F13">
        <w:rPr>
          <w:rFonts w:cs="Arial"/>
          <w:sz w:val="24"/>
        </w:rPr>
        <w:t xml:space="preserve">Dr. Tereza Novotná a Alexandra </w:t>
      </w:r>
      <w:proofErr w:type="spellStart"/>
      <w:r w:rsidR="00F03B57" w:rsidRPr="00272F13">
        <w:rPr>
          <w:rFonts w:cs="Arial"/>
          <w:sz w:val="24"/>
        </w:rPr>
        <w:t>Visnerov</w:t>
      </w:r>
      <w:r w:rsidR="00E059E0" w:rsidRPr="00272F13">
        <w:rPr>
          <w:rFonts w:cs="Arial"/>
          <w:sz w:val="24"/>
        </w:rPr>
        <w:t>á</w:t>
      </w:r>
      <w:proofErr w:type="spellEnd"/>
    </w:p>
    <w:p w14:paraId="42635640" w14:textId="77777777" w:rsidR="00FC60F4" w:rsidRPr="00435E65" w:rsidRDefault="00185F64" w:rsidP="00093E19">
      <w:pPr>
        <w:spacing w:before="0" w:beforeAutospacing="0" w:after="0" w:afterAutospacing="0"/>
        <w:jc w:val="center"/>
        <w:rPr>
          <w:noProof/>
          <w:lang w:eastAsia="cs-CZ"/>
        </w:rPr>
      </w:pPr>
      <w:r w:rsidRPr="00435E65">
        <w:rPr>
          <w:rFonts w:ascii="Calibri" w:hAnsi="Calibri"/>
          <w:noProof/>
          <w:sz w:val="12"/>
          <w:lang w:eastAsia="cs-CZ"/>
        </w:rPr>
        <w:drawing>
          <wp:inline distT="0" distB="0" distL="0" distR="0" wp14:anchorId="4A48B63C" wp14:editId="55C625AE">
            <wp:extent cx="2954587" cy="679667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43" cy="68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A31BA" w14:textId="26F6BBBC" w:rsidR="009B177B" w:rsidRPr="00A2768F" w:rsidRDefault="00185F64" w:rsidP="00C425E0">
      <w:pPr>
        <w:spacing w:before="0" w:beforeAutospacing="0" w:after="0" w:afterAutospacing="0"/>
        <w:jc w:val="left"/>
        <w:rPr>
          <w:rFonts w:asciiTheme="minorHAnsi" w:hAnsiTheme="minorHAnsi" w:cstheme="minorHAnsi"/>
          <w:b/>
          <w:sz w:val="24"/>
        </w:rPr>
      </w:pPr>
      <w:r w:rsidRPr="00A2768F">
        <w:rPr>
          <w:b/>
          <w:sz w:val="24"/>
        </w:rPr>
        <w:br w:type="page"/>
      </w:r>
      <w:r w:rsidR="008841BD" w:rsidRPr="00A2768F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>Úvod do problematiky</w:t>
      </w:r>
    </w:p>
    <w:p w14:paraId="797117B4" w14:textId="3FF68D21" w:rsidR="009A6974" w:rsidRPr="003F6B5C" w:rsidRDefault="009A6974" w:rsidP="00E059E0">
      <w:pPr>
        <w:spacing w:line="240" w:lineRule="auto"/>
        <w:rPr>
          <w:rFonts w:cs="Arial"/>
          <w:szCs w:val="22"/>
        </w:rPr>
      </w:pPr>
      <w:r w:rsidRPr="003F6B5C">
        <w:rPr>
          <w:rFonts w:cs="Arial"/>
          <w:szCs w:val="22"/>
        </w:rPr>
        <w:t>U</w:t>
      </w:r>
      <w:r w:rsidR="00C425E0" w:rsidRPr="003F6B5C">
        <w:rPr>
          <w:rFonts w:cs="Arial"/>
          <w:szCs w:val="22"/>
        </w:rPr>
        <w:t xml:space="preserve"> příležitosti vydání </w:t>
      </w:r>
      <w:r w:rsidR="00C425E0" w:rsidRPr="003F6B5C">
        <w:rPr>
          <w:rFonts w:cs="Arial"/>
          <w:i/>
          <w:iCs/>
          <w:szCs w:val="22"/>
        </w:rPr>
        <w:t xml:space="preserve">Strategie EU pro spolupráci v oblasti </w:t>
      </w:r>
      <w:proofErr w:type="spellStart"/>
      <w:r w:rsidR="00C425E0" w:rsidRPr="003F6B5C">
        <w:rPr>
          <w:rFonts w:cs="Arial"/>
          <w:i/>
          <w:iCs/>
          <w:szCs w:val="22"/>
        </w:rPr>
        <w:t>Indo</w:t>
      </w:r>
      <w:proofErr w:type="spellEnd"/>
      <w:r w:rsidR="00C425E0" w:rsidRPr="003F6B5C">
        <w:rPr>
          <w:rFonts w:cs="Arial"/>
          <w:i/>
          <w:iCs/>
          <w:szCs w:val="22"/>
        </w:rPr>
        <w:t>-Pacifiku</w:t>
      </w:r>
      <w:r w:rsidR="00C425E0" w:rsidRPr="003F6B5C">
        <w:rPr>
          <w:rFonts w:cs="Arial"/>
          <w:szCs w:val="22"/>
        </w:rPr>
        <w:t xml:space="preserve"> v září 2021 nast</w:t>
      </w:r>
      <w:r w:rsidRPr="003F6B5C">
        <w:rPr>
          <w:rFonts w:cs="Arial"/>
          <w:szCs w:val="22"/>
        </w:rPr>
        <w:t>ínil</w:t>
      </w:r>
      <w:r w:rsidR="00C425E0" w:rsidRPr="003F6B5C">
        <w:rPr>
          <w:rFonts w:cs="Arial"/>
          <w:szCs w:val="22"/>
        </w:rPr>
        <w:t xml:space="preserve"> Vysoký představitel </w:t>
      </w:r>
      <w:proofErr w:type="spellStart"/>
      <w:r w:rsidR="00C425E0" w:rsidRPr="003F6B5C">
        <w:rPr>
          <w:rFonts w:cs="Arial"/>
          <w:szCs w:val="22"/>
        </w:rPr>
        <w:t>Josep</w:t>
      </w:r>
      <w:proofErr w:type="spellEnd"/>
      <w:r w:rsidR="00C425E0" w:rsidRPr="003F6B5C">
        <w:rPr>
          <w:rFonts w:cs="Arial"/>
          <w:szCs w:val="22"/>
        </w:rPr>
        <w:t xml:space="preserve"> </w:t>
      </w:r>
      <w:proofErr w:type="spellStart"/>
      <w:r w:rsidR="00C425E0" w:rsidRPr="003F6B5C">
        <w:rPr>
          <w:rFonts w:cs="Arial"/>
          <w:szCs w:val="22"/>
        </w:rPr>
        <w:t>Borrell</w:t>
      </w:r>
      <w:proofErr w:type="spellEnd"/>
      <w:r w:rsidR="00C425E0" w:rsidRPr="003F6B5C">
        <w:rPr>
          <w:rFonts w:cs="Arial"/>
          <w:szCs w:val="22"/>
        </w:rPr>
        <w:t xml:space="preserve"> posun „gravitačního těžiště světa… směrem k </w:t>
      </w:r>
      <w:proofErr w:type="spellStart"/>
      <w:r w:rsidR="00C425E0" w:rsidRPr="003F6B5C">
        <w:rPr>
          <w:rFonts w:cs="Arial"/>
          <w:szCs w:val="22"/>
        </w:rPr>
        <w:t>Indo</w:t>
      </w:r>
      <w:proofErr w:type="spellEnd"/>
      <w:r w:rsidR="00C425E0" w:rsidRPr="003F6B5C">
        <w:rPr>
          <w:rFonts w:cs="Arial"/>
          <w:szCs w:val="22"/>
        </w:rPr>
        <w:t xml:space="preserve">-Pacifiku, a to jak v oblasti </w:t>
      </w:r>
      <w:proofErr w:type="spellStart"/>
      <w:r w:rsidR="00C425E0" w:rsidRPr="003F6B5C">
        <w:rPr>
          <w:rFonts w:cs="Arial"/>
          <w:szCs w:val="22"/>
        </w:rPr>
        <w:t>geo</w:t>
      </w:r>
      <w:proofErr w:type="spellEnd"/>
      <w:r w:rsidR="00C425E0" w:rsidRPr="003F6B5C">
        <w:rPr>
          <w:rFonts w:cs="Arial"/>
          <w:szCs w:val="22"/>
        </w:rPr>
        <w:t xml:space="preserve">-ekonomické, tak geopolitické.“ Vysoký představitel </w:t>
      </w:r>
      <w:proofErr w:type="spellStart"/>
      <w:r w:rsidR="00C425E0" w:rsidRPr="003F6B5C">
        <w:rPr>
          <w:rFonts w:cs="Arial"/>
          <w:szCs w:val="22"/>
        </w:rPr>
        <w:t>Borrell</w:t>
      </w:r>
      <w:proofErr w:type="spellEnd"/>
      <w:r w:rsidR="00C425E0" w:rsidRPr="003F6B5C">
        <w:rPr>
          <w:rFonts w:cs="Arial"/>
          <w:szCs w:val="22"/>
        </w:rPr>
        <w:t xml:space="preserve"> hovoř</w:t>
      </w:r>
      <w:r w:rsidRPr="003F6B5C">
        <w:rPr>
          <w:rFonts w:cs="Arial"/>
          <w:szCs w:val="22"/>
        </w:rPr>
        <w:t>il</w:t>
      </w:r>
      <w:r w:rsidR="003F6B5C">
        <w:rPr>
          <w:rFonts w:cs="Arial"/>
          <w:szCs w:val="22"/>
        </w:rPr>
        <w:t xml:space="preserve"> o </w:t>
      </w:r>
      <w:r w:rsidR="00C425E0" w:rsidRPr="003F6B5C">
        <w:rPr>
          <w:rFonts w:cs="Arial"/>
          <w:szCs w:val="22"/>
        </w:rPr>
        <w:t>možných oblastech spolupráce s </w:t>
      </w:r>
      <w:proofErr w:type="spellStart"/>
      <w:r w:rsidR="00C425E0" w:rsidRPr="003F6B5C">
        <w:rPr>
          <w:rFonts w:cs="Arial"/>
          <w:szCs w:val="22"/>
        </w:rPr>
        <w:t>indo</w:t>
      </w:r>
      <w:proofErr w:type="spellEnd"/>
      <w:r w:rsidR="00C425E0" w:rsidRPr="003F6B5C">
        <w:rPr>
          <w:rFonts w:cs="Arial"/>
          <w:szCs w:val="22"/>
        </w:rPr>
        <w:t>-pacifickými partnery</w:t>
      </w:r>
      <w:r w:rsidRPr="003F6B5C">
        <w:rPr>
          <w:rFonts w:cs="Arial"/>
          <w:szCs w:val="22"/>
        </w:rPr>
        <w:t xml:space="preserve">. </w:t>
      </w:r>
      <w:r w:rsidR="00C425E0" w:rsidRPr="003F6B5C">
        <w:rPr>
          <w:rFonts w:cs="Arial"/>
          <w:szCs w:val="22"/>
        </w:rPr>
        <w:t xml:space="preserve">Z geopolitického hlediska je však </w:t>
      </w:r>
      <w:proofErr w:type="spellStart"/>
      <w:r w:rsidR="00C425E0" w:rsidRPr="003F6B5C">
        <w:rPr>
          <w:rFonts w:cs="Arial"/>
          <w:szCs w:val="22"/>
        </w:rPr>
        <w:t>Indo</w:t>
      </w:r>
      <w:proofErr w:type="spellEnd"/>
      <w:r w:rsidR="00C425E0" w:rsidRPr="003F6B5C">
        <w:rPr>
          <w:rFonts w:cs="Arial"/>
          <w:szCs w:val="22"/>
        </w:rPr>
        <w:t>-Pacifik i regionem s narůstajícím politickým a bezpečnostním napětím, které je úzce spojeno se zvyšující se ekonomickou i politickou vahou Čínsk</w:t>
      </w:r>
      <w:r w:rsidR="003F6B5C">
        <w:rPr>
          <w:rFonts w:cs="Arial"/>
          <w:szCs w:val="22"/>
        </w:rPr>
        <w:t>é lidové republiky resp. Číny a </w:t>
      </w:r>
      <w:r w:rsidR="00C425E0" w:rsidRPr="003F6B5C">
        <w:rPr>
          <w:rFonts w:cs="Arial"/>
          <w:szCs w:val="22"/>
        </w:rPr>
        <w:t xml:space="preserve">geopolitickou soutěží se Spojenými státy. </w:t>
      </w:r>
      <w:r w:rsidRPr="003F6B5C">
        <w:rPr>
          <w:rFonts w:cs="Arial"/>
          <w:szCs w:val="22"/>
        </w:rPr>
        <w:t xml:space="preserve">V důsledku ruské invaze na Ukrajině navíc zůstává otázkou, jak se nejen Čína, ale i další země </w:t>
      </w:r>
      <w:proofErr w:type="spellStart"/>
      <w:r w:rsidRPr="003F6B5C">
        <w:rPr>
          <w:rFonts w:cs="Arial"/>
          <w:szCs w:val="22"/>
        </w:rPr>
        <w:t>Indo</w:t>
      </w:r>
      <w:proofErr w:type="spellEnd"/>
      <w:r w:rsidRPr="003F6B5C">
        <w:rPr>
          <w:rFonts w:cs="Arial"/>
          <w:szCs w:val="22"/>
        </w:rPr>
        <w:t>-</w:t>
      </w:r>
      <w:r w:rsidR="00FB1155" w:rsidRPr="003F6B5C">
        <w:rPr>
          <w:rFonts w:cs="Arial"/>
          <w:szCs w:val="22"/>
        </w:rPr>
        <w:t>P</w:t>
      </w:r>
      <w:r w:rsidR="003F6B5C">
        <w:rPr>
          <w:rFonts w:cs="Arial"/>
          <w:szCs w:val="22"/>
        </w:rPr>
        <w:t xml:space="preserve">acifiku k </w:t>
      </w:r>
      <w:r w:rsidRPr="003F6B5C">
        <w:rPr>
          <w:rFonts w:cs="Arial"/>
          <w:szCs w:val="22"/>
        </w:rPr>
        <w:t>této ruské agresi postaví, a to včetně dodržování sankcí vůči Ruské federaci. Všemi těmito</w:t>
      </w:r>
      <w:r w:rsidR="00C425E0" w:rsidRPr="003F6B5C">
        <w:rPr>
          <w:rFonts w:cs="Arial"/>
          <w:szCs w:val="22"/>
        </w:rPr>
        <w:t xml:space="preserve"> aspekt</w:t>
      </w:r>
      <w:r w:rsidRPr="003F6B5C">
        <w:rPr>
          <w:rFonts w:cs="Arial"/>
          <w:szCs w:val="22"/>
        </w:rPr>
        <w:t>y</w:t>
      </w:r>
      <w:r w:rsidR="00C425E0" w:rsidRPr="003F6B5C">
        <w:rPr>
          <w:rFonts w:cs="Arial"/>
          <w:szCs w:val="22"/>
        </w:rPr>
        <w:t xml:space="preserve"> se zabýva</w:t>
      </w:r>
      <w:r w:rsidRPr="003F6B5C">
        <w:rPr>
          <w:rFonts w:cs="Arial"/>
          <w:szCs w:val="22"/>
        </w:rPr>
        <w:t>l</w:t>
      </w:r>
      <w:r w:rsidR="00C425E0" w:rsidRPr="003F6B5C">
        <w:rPr>
          <w:rFonts w:cs="Arial"/>
          <w:szCs w:val="22"/>
        </w:rPr>
        <w:t xml:space="preserve"> </w:t>
      </w:r>
      <w:r w:rsidRPr="003F6B5C">
        <w:rPr>
          <w:rFonts w:cs="Arial"/>
          <w:szCs w:val="22"/>
        </w:rPr>
        <w:t>kulatý stůl Národního konventu o EU konaný dne 29. dubna 2022.</w:t>
      </w:r>
    </w:p>
    <w:p w14:paraId="52FB476A" w14:textId="6265B230" w:rsidR="009A6974" w:rsidRPr="003F6B5C" w:rsidRDefault="009A6974" w:rsidP="009A6974">
      <w:pPr>
        <w:spacing w:line="240" w:lineRule="auto"/>
        <w:rPr>
          <w:rFonts w:cs="Arial"/>
          <w:szCs w:val="22"/>
        </w:rPr>
      </w:pPr>
      <w:r w:rsidRPr="003F6B5C">
        <w:rPr>
          <w:rFonts w:cs="Arial"/>
          <w:szCs w:val="22"/>
        </w:rPr>
        <w:t xml:space="preserve">Z historického pohledu se </w:t>
      </w:r>
      <w:r w:rsidRPr="003F6B5C">
        <w:rPr>
          <w:rFonts w:cs="Arial"/>
          <w:b/>
          <w:szCs w:val="22"/>
        </w:rPr>
        <w:t xml:space="preserve">debata o </w:t>
      </w:r>
      <w:proofErr w:type="spellStart"/>
      <w:r w:rsidRPr="003F6B5C">
        <w:rPr>
          <w:rFonts w:cs="Arial"/>
          <w:b/>
          <w:szCs w:val="22"/>
        </w:rPr>
        <w:t>Indo</w:t>
      </w:r>
      <w:proofErr w:type="spellEnd"/>
      <w:r w:rsidRPr="003F6B5C">
        <w:rPr>
          <w:rFonts w:cs="Arial"/>
          <w:b/>
          <w:szCs w:val="22"/>
        </w:rPr>
        <w:t>-Pacifiku začala v Evropě vést</w:t>
      </w:r>
      <w:r w:rsidRPr="003F6B5C">
        <w:rPr>
          <w:rFonts w:cs="Arial"/>
          <w:szCs w:val="22"/>
        </w:rPr>
        <w:t xml:space="preserve"> z podnětu francouzského prezidenta </w:t>
      </w:r>
      <w:proofErr w:type="spellStart"/>
      <w:r w:rsidRPr="003F6B5C">
        <w:rPr>
          <w:rFonts w:cs="Arial"/>
          <w:szCs w:val="22"/>
        </w:rPr>
        <w:t>Macrona</w:t>
      </w:r>
      <w:proofErr w:type="spellEnd"/>
      <w:r w:rsidRPr="003F6B5C">
        <w:rPr>
          <w:rFonts w:cs="Arial"/>
          <w:szCs w:val="22"/>
        </w:rPr>
        <w:t xml:space="preserve">, který v roce 2018 nechal jako první vypracovat </w:t>
      </w:r>
      <w:proofErr w:type="spellStart"/>
      <w:r w:rsidRPr="003F6B5C">
        <w:rPr>
          <w:rFonts w:cs="Arial"/>
          <w:szCs w:val="22"/>
        </w:rPr>
        <w:t>indopacifickou</w:t>
      </w:r>
      <w:proofErr w:type="spellEnd"/>
      <w:r w:rsidRPr="003F6B5C">
        <w:rPr>
          <w:rFonts w:cs="Arial"/>
          <w:szCs w:val="22"/>
        </w:rPr>
        <w:t xml:space="preserve"> strategii, a to zčásti proto, že Francie je jediný členský stá</w:t>
      </w:r>
      <w:r w:rsidR="003F6B5C">
        <w:rPr>
          <w:rFonts w:cs="Arial"/>
          <w:szCs w:val="22"/>
        </w:rPr>
        <w:t>t EU rezidentní v </w:t>
      </w:r>
      <w:r w:rsidRPr="003F6B5C">
        <w:rPr>
          <w:rFonts w:cs="Arial"/>
          <w:szCs w:val="22"/>
        </w:rPr>
        <w:t xml:space="preserve">regionu. Po Francii následovalo Německo a Nizozemí, které publikovaly své strategie během roku 2020. Oba státy jako země závislé na exportu pokládají </w:t>
      </w:r>
      <w:proofErr w:type="spellStart"/>
      <w:r w:rsidRPr="003F6B5C">
        <w:rPr>
          <w:rFonts w:cs="Arial"/>
          <w:szCs w:val="22"/>
        </w:rPr>
        <w:t>Indo</w:t>
      </w:r>
      <w:proofErr w:type="spellEnd"/>
      <w:r w:rsidRPr="003F6B5C">
        <w:rPr>
          <w:rFonts w:cs="Arial"/>
          <w:szCs w:val="22"/>
        </w:rPr>
        <w:t xml:space="preserve">-Pacifik spíše za důležitou zónu zejména z hlediska námořních obchodních cest. Evropská unie jako celek nejprve přijala závěry Rady EU v dubnu 2021, kterými požádala o předložení evropské </w:t>
      </w:r>
      <w:proofErr w:type="spellStart"/>
      <w:r w:rsidRPr="003F6B5C">
        <w:rPr>
          <w:rFonts w:cs="Arial"/>
          <w:szCs w:val="22"/>
        </w:rPr>
        <w:t>indopacifické</w:t>
      </w:r>
      <w:proofErr w:type="spellEnd"/>
      <w:r w:rsidRPr="003F6B5C">
        <w:rPr>
          <w:rFonts w:cs="Arial"/>
          <w:szCs w:val="22"/>
        </w:rPr>
        <w:t xml:space="preserve"> strategie. Ta byla prezentována v září 2021 předsedkyní Komise von der </w:t>
      </w:r>
      <w:proofErr w:type="spellStart"/>
      <w:r w:rsidRPr="003F6B5C">
        <w:rPr>
          <w:rFonts w:cs="Arial"/>
          <w:szCs w:val="22"/>
        </w:rPr>
        <w:t>Leyenovou</w:t>
      </w:r>
      <w:proofErr w:type="spellEnd"/>
      <w:r w:rsidRPr="003F6B5C">
        <w:rPr>
          <w:rFonts w:cs="Arial"/>
          <w:szCs w:val="22"/>
        </w:rPr>
        <w:t xml:space="preserve"> a Vysokým představitelem </w:t>
      </w:r>
      <w:proofErr w:type="spellStart"/>
      <w:r w:rsidRPr="003F6B5C">
        <w:rPr>
          <w:rFonts w:cs="Arial"/>
          <w:szCs w:val="22"/>
        </w:rPr>
        <w:t>Borrellem</w:t>
      </w:r>
      <w:proofErr w:type="spellEnd"/>
      <w:r w:rsidRPr="003F6B5C">
        <w:rPr>
          <w:rFonts w:cs="Arial"/>
          <w:szCs w:val="22"/>
        </w:rPr>
        <w:t>. Strategie EU předkládá sérii principů spolupráce s regionem s cílem vybudovat stabilní a bezpečné prostředí v </w:t>
      </w:r>
      <w:proofErr w:type="spellStart"/>
      <w:r w:rsidRPr="003F6B5C">
        <w:rPr>
          <w:rFonts w:cs="Arial"/>
          <w:szCs w:val="22"/>
        </w:rPr>
        <w:t>Indo</w:t>
      </w:r>
      <w:proofErr w:type="spellEnd"/>
      <w:r w:rsidRPr="003F6B5C">
        <w:rPr>
          <w:rFonts w:cs="Arial"/>
          <w:szCs w:val="22"/>
        </w:rPr>
        <w:t xml:space="preserve">-Pacifiku a vyjmenovává sedm hlavních evropských priorit: udržitelná a inkluzivní prosperita, ekologická transformace, správa oceánů, digitální správa a partnerství, konektivita, bezpečnost a obrana a lidská bezpečnost (vč. boje proti pandemiím). Svou </w:t>
      </w:r>
      <w:proofErr w:type="spellStart"/>
      <w:r w:rsidRPr="003F6B5C">
        <w:rPr>
          <w:rFonts w:cs="Arial"/>
          <w:szCs w:val="22"/>
        </w:rPr>
        <w:t>indopacifickou</w:t>
      </w:r>
      <w:proofErr w:type="spellEnd"/>
      <w:r w:rsidRPr="003F6B5C">
        <w:rPr>
          <w:rFonts w:cs="Arial"/>
          <w:szCs w:val="22"/>
        </w:rPr>
        <w:t xml:space="preserve"> strategii letos </w:t>
      </w:r>
      <w:r w:rsidR="0078391B" w:rsidRPr="003F6B5C">
        <w:rPr>
          <w:rFonts w:cs="Arial"/>
          <w:szCs w:val="22"/>
        </w:rPr>
        <w:t>vydaly</w:t>
      </w:r>
      <w:r w:rsidRPr="003F6B5C">
        <w:rPr>
          <w:rFonts w:cs="Arial"/>
          <w:szCs w:val="22"/>
        </w:rPr>
        <w:t xml:space="preserve"> i USA, její</w:t>
      </w:r>
      <w:r w:rsidR="00FB1155" w:rsidRPr="003F6B5C">
        <w:rPr>
          <w:rFonts w:cs="Arial"/>
          <w:szCs w:val="22"/>
        </w:rPr>
        <w:t>m</w:t>
      </w:r>
      <w:r w:rsidRPr="003F6B5C">
        <w:rPr>
          <w:rFonts w:cs="Arial"/>
          <w:szCs w:val="22"/>
        </w:rPr>
        <w:t xml:space="preserve"> cílem je postavit se rostoucí moci Číny. </w:t>
      </w:r>
    </w:p>
    <w:p w14:paraId="758E20D6" w14:textId="2D5981FD" w:rsidR="009A6974" w:rsidRPr="003F6B5C" w:rsidRDefault="009A6974" w:rsidP="00E059E0">
      <w:pPr>
        <w:spacing w:line="240" w:lineRule="auto"/>
        <w:rPr>
          <w:rFonts w:cs="Arial"/>
          <w:szCs w:val="22"/>
        </w:rPr>
      </w:pPr>
      <w:r w:rsidRPr="003F6B5C">
        <w:rPr>
          <w:rFonts w:cs="Arial"/>
          <w:szCs w:val="22"/>
        </w:rPr>
        <w:t xml:space="preserve">I přes vzrůstající politické napětí je území </w:t>
      </w:r>
      <w:proofErr w:type="spellStart"/>
      <w:r w:rsidRPr="003F6B5C">
        <w:rPr>
          <w:rFonts w:cs="Arial"/>
          <w:szCs w:val="22"/>
        </w:rPr>
        <w:t>Indo</w:t>
      </w:r>
      <w:proofErr w:type="spellEnd"/>
      <w:r w:rsidRPr="003F6B5C">
        <w:rPr>
          <w:rFonts w:cs="Arial"/>
          <w:szCs w:val="22"/>
        </w:rPr>
        <w:t>-</w:t>
      </w:r>
      <w:r w:rsidR="00FB1155" w:rsidRPr="003F6B5C">
        <w:rPr>
          <w:rFonts w:cs="Arial"/>
          <w:szCs w:val="22"/>
        </w:rPr>
        <w:t>P</w:t>
      </w:r>
      <w:r w:rsidRPr="003F6B5C">
        <w:rPr>
          <w:rFonts w:cs="Arial"/>
          <w:szCs w:val="22"/>
        </w:rPr>
        <w:t xml:space="preserve">acifiku především </w:t>
      </w:r>
      <w:r w:rsidRPr="00A2768F">
        <w:rPr>
          <w:rFonts w:cs="Arial"/>
          <w:b/>
          <w:szCs w:val="22"/>
        </w:rPr>
        <w:t>oblastí mnoha příležitostí</w:t>
      </w:r>
      <w:r w:rsidRPr="003F6B5C">
        <w:rPr>
          <w:rFonts w:cs="Arial"/>
          <w:szCs w:val="22"/>
        </w:rPr>
        <w:t xml:space="preserve">. V roce 2019 obchod se zbožím mezi EU a </w:t>
      </w:r>
      <w:proofErr w:type="spellStart"/>
      <w:r w:rsidRPr="003F6B5C">
        <w:rPr>
          <w:rFonts w:cs="Arial"/>
          <w:szCs w:val="22"/>
        </w:rPr>
        <w:t>Indo</w:t>
      </w:r>
      <w:proofErr w:type="spellEnd"/>
      <w:r w:rsidRPr="003F6B5C">
        <w:rPr>
          <w:rFonts w:cs="Arial"/>
          <w:szCs w:val="22"/>
        </w:rPr>
        <w:t>-Pacifikem dosáhl 1.5 trilionu eur resp. 70 % světového obratu v obchodu se zbožím a služba</w:t>
      </w:r>
      <w:r w:rsidR="003F6B5C">
        <w:rPr>
          <w:rFonts w:cs="Arial"/>
          <w:szCs w:val="22"/>
        </w:rPr>
        <w:t>mi, zároveň EU zůstává jedním z </w:t>
      </w:r>
      <w:r w:rsidRPr="003F6B5C">
        <w:rPr>
          <w:rFonts w:cs="Arial"/>
          <w:szCs w:val="22"/>
        </w:rPr>
        <w:t xml:space="preserve">nejdůležitějších zdrojů zahraničních investic i rozvojové spolupráce. </w:t>
      </w:r>
    </w:p>
    <w:p w14:paraId="6B7C84B8" w14:textId="473B206B" w:rsidR="00C425E0" w:rsidRDefault="009A6974" w:rsidP="00E059E0">
      <w:pPr>
        <w:spacing w:line="240" w:lineRule="auto"/>
        <w:rPr>
          <w:rFonts w:cs="Arial"/>
          <w:szCs w:val="22"/>
        </w:rPr>
      </w:pPr>
      <w:proofErr w:type="spellStart"/>
      <w:r w:rsidRPr="003F6B5C">
        <w:rPr>
          <w:rFonts w:cs="Arial"/>
          <w:szCs w:val="22"/>
        </w:rPr>
        <w:t>Indo</w:t>
      </w:r>
      <w:proofErr w:type="spellEnd"/>
      <w:r w:rsidRPr="003F6B5C">
        <w:rPr>
          <w:rFonts w:cs="Arial"/>
          <w:szCs w:val="22"/>
        </w:rPr>
        <w:t xml:space="preserve">-pacifický region je i </w:t>
      </w:r>
      <w:r w:rsidRPr="00A2768F">
        <w:rPr>
          <w:rFonts w:cs="Arial"/>
          <w:b/>
          <w:szCs w:val="22"/>
        </w:rPr>
        <w:t>jednou z</w:t>
      </w:r>
      <w:r w:rsidRPr="003F6B5C">
        <w:rPr>
          <w:rFonts w:cs="Arial"/>
          <w:szCs w:val="22"/>
        </w:rPr>
        <w:t xml:space="preserve"> </w:t>
      </w:r>
      <w:r w:rsidRPr="00A2768F">
        <w:rPr>
          <w:rFonts w:cs="Arial"/>
          <w:b/>
          <w:szCs w:val="22"/>
        </w:rPr>
        <w:t>priorit pro nadcházející české předsednictví Rady EU</w:t>
      </w:r>
      <w:r w:rsidRPr="003F6B5C">
        <w:rPr>
          <w:rFonts w:cs="Arial"/>
          <w:szCs w:val="22"/>
        </w:rPr>
        <w:t xml:space="preserve">. </w:t>
      </w:r>
      <w:r w:rsidR="00C425E0" w:rsidRPr="003F6B5C">
        <w:rPr>
          <w:rFonts w:cs="Arial"/>
          <w:szCs w:val="22"/>
        </w:rPr>
        <w:t xml:space="preserve">Téma </w:t>
      </w:r>
      <w:proofErr w:type="spellStart"/>
      <w:r w:rsidR="00C425E0" w:rsidRPr="003F6B5C">
        <w:rPr>
          <w:rFonts w:cs="Arial"/>
          <w:szCs w:val="22"/>
        </w:rPr>
        <w:t>Indo</w:t>
      </w:r>
      <w:proofErr w:type="spellEnd"/>
      <w:r w:rsidR="00C425E0" w:rsidRPr="003F6B5C">
        <w:rPr>
          <w:rFonts w:cs="Arial"/>
          <w:szCs w:val="22"/>
        </w:rPr>
        <w:t>-Pacifiku je pro ČR dobrým námětem, neboť jde o oblast, která posune budoucnost evropských vztahů s nejdynamičtěji se rozvíjejícím regionem světa, o</w:t>
      </w:r>
      <w:r w:rsidR="003F6B5C">
        <w:rPr>
          <w:rFonts w:cs="Arial"/>
          <w:szCs w:val="22"/>
        </w:rPr>
        <w:t xml:space="preserve"> nějž mají přímý zájem i </w:t>
      </w:r>
      <w:r w:rsidR="00C425E0" w:rsidRPr="003F6B5C">
        <w:rPr>
          <w:rFonts w:cs="Arial"/>
          <w:szCs w:val="22"/>
        </w:rPr>
        <w:t xml:space="preserve">Spojené státy. </w:t>
      </w:r>
      <w:proofErr w:type="spellStart"/>
      <w:r w:rsidR="00C425E0" w:rsidRPr="003F6B5C">
        <w:rPr>
          <w:rFonts w:cs="Arial"/>
          <w:szCs w:val="22"/>
        </w:rPr>
        <w:t>Indo</w:t>
      </w:r>
      <w:proofErr w:type="spellEnd"/>
      <w:r w:rsidR="00C425E0" w:rsidRPr="003F6B5C">
        <w:rPr>
          <w:rFonts w:cs="Arial"/>
          <w:szCs w:val="22"/>
        </w:rPr>
        <w:t xml:space="preserve">-Pacifik zároveň umožní ČR ukázat, že i země, která nemá bezprostřední geografický vztah s tímto územím, je schopna přinést nové nápady i uplatnit předchozí zkušenosti a dobré bilaterální vztahy s regionálními státy a přenést je na evropskou úroveň. </w:t>
      </w:r>
      <w:proofErr w:type="spellStart"/>
      <w:r w:rsidR="00C425E0" w:rsidRPr="003F6B5C">
        <w:rPr>
          <w:rFonts w:cs="Arial"/>
          <w:szCs w:val="22"/>
        </w:rPr>
        <w:t>Indo</w:t>
      </w:r>
      <w:proofErr w:type="spellEnd"/>
      <w:r w:rsidR="00C425E0" w:rsidRPr="003F6B5C">
        <w:rPr>
          <w:rFonts w:cs="Arial"/>
          <w:szCs w:val="22"/>
        </w:rPr>
        <w:t xml:space="preserve">-Pacifik též poskytuje ČR příležitost úzce spolupracovat v rámci předsednického tria s Francií a popř. i dalšími zeměmi, které mají o </w:t>
      </w:r>
      <w:proofErr w:type="spellStart"/>
      <w:r w:rsidR="00C425E0" w:rsidRPr="003F6B5C">
        <w:rPr>
          <w:rFonts w:cs="Arial"/>
          <w:szCs w:val="22"/>
        </w:rPr>
        <w:t>Indo</w:t>
      </w:r>
      <w:proofErr w:type="spellEnd"/>
      <w:r w:rsidR="00C425E0" w:rsidRPr="003F6B5C">
        <w:rPr>
          <w:rFonts w:cs="Arial"/>
          <w:szCs w:val="22"/>
        </w:rPr>
        <w:t xml:space="preserve">-Pacifik výrazný zájem, ať už jde o </w:t>
      </w:r>
      <w:r w:rsidR="003F6B5C">
        <w:rPr>
          <w:rFonts w:cs="Arial"/>
          <w:szCs w:val="22"/>
        </w:rPr>
        <w:t> </w:t>
      </w:r>
      <w:r w:rsidR="00C425E0" w:rsidRPr="003F6B5C">
        <w:rPr>
          <w:rFonts w:cs="Arial"/>
          <w:szCs w:val="22"/>
        </w:rPr>
        <w:t xml:space="preserve">Německo, Nizozemí či </w:t>
      </w:r>
      <w:r w:rsidRPr="003F6B5C">
        <w:rPr>
          <w:rFonts w:cs="Arial"/>
          <w:szCs w:val="22"/>
        </w:rPr>
        <w:t>předsednické Švédsko</w:t>
      </w:r>
      <w:r w:rsidR="00C425E0" w:rsidRPr="003F6B5C">
        <w:rPr>
          <w:rFonts w:cs="Arial"/>
          <w:szCs w:val="22"/>
        </w:rPr>
        <w:t xml:space="preserve">, a vytvořit tak i jiné koalice a spojenectví na evropské úrovni, než je jen V4, což může být do budoucnosti vhodnou alternativou i pro jiná témata. </w:t>
      </w:r>
    </w:p>
    <w:p w14:paraId="42577453" w14:textId="44C15F18" w:rsidR="00A2768F" w:rsidRDefault="00A2768F" w:rsidP="00E059E0">
      <w:pPr>
        <w:spacing w:line="240" w:lineRule="auto"/>
        <w:rPr>
          <w:rFonts w:cs="Arial"/>
          <w:szCs w:val="22"/>
        </w:rPr>
      </w:pPr>
    </w:p>
    <w:p w14:paraId="4969EE5D" w14:textId="5533143B" w:rsidR="00A2768F" w:rsidRDefault="00A2768F" w:rsidP="00E059E0">
      <w:pPr>
        <w:spacing w:line="240" w:lineRule="auto"/>
        <w:rPr>
          <w:rFonts w:cs="Arial"/>
          <w:szCs w:val="22"/>
        </w:rPr>
      </w:pPr>
    </w:p>
    <w:p w14:paraId="239C0B27" w14:textId="6EA731E4" w:rsidR="00A2768F" w:rsidRDefault="00A2768F" w:rsidP="00E059E0">
      <w:pPr>
        <w:spacing w:line="240" w:lineRule="auto"/>
        <w:rPr>
          <w:rFonts w:cs="Arial"/>
          <w:szCs w:val="22"/>
        </w:rPr>
      </w:pPr>
    </w:p>
    <w:p w14:paraId="1F31DD5C" w14:textId="77777777" w:rsidR="00A2768F" w:rsidRPr="003F6B5C" w:rsidRDefault="00A2768F" w:rsidP="00E059E0">
      <w:pPr>
        <w:spacing w:line="240" w:lineRule="auto"/>
        <w:rPr>
          <w:rFonts w:cs="Arial"/>
          <w:szCs w:val="22"/>
        </w:rPr>
      </w:pPr>
    </w:p>
    <w:p w14:paraId="7407DB07" w14:textId="77777777" w:rsidR="00F35116" w:rsidRPr="00633574" w:rsidRDefault="00F35116" w:rsidP="00F35116">
      <w:pPr>
        <w:spacing w:line="240" w:lineRule="auto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  <w:r w:rsidRPr="00633574"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  <w:lastRenderedPageBreak/>
        <w:t>Rámec kulatého stolu</w:t>
      </w:r>
    </w:p>
    <w:p w14:paraId="4CC1A027" w14:textId="2EA9BE22" w:rsidR="00633574" w:rsidRPr="00A2768F" w:rsidRDefault="00F35116" w:rsidP="00F35116">
      <w:pPr>
        <w:spacing w:line="240" w:lineRule="auto"/>
        <w:rPr>
          <w:rFonts w:cs="Arial"/>
        </w:rPr>
      </w:pPr>
      <w:r w:rsidRPr="00A2768F">
        <w:rPr>
          <w:rFonts w:cs="Arial"/>
        </w:rPr>
        <w:t>V pátek 29. dubna 2022 se konal kulatý stůl Národního ko</w:t>
      </w:r>
      <w:r w:rsidR="00A2768F">
        <w:rPr>
          <w:rFonts w:cs="Arial"/>
        </w:rPr>
        <w:t>nventu o EU na téma Vztahy EU s </w:t>
      </w:r>
      <w:proofErr w:type="spellStart"/>
      <w:r w:rsidRPr="00A2768F">
        <w:rPr>
          <w:rFonts w:cs="Arial"/>
        </w:rPr>
        <w:t>indopacifickou</w:t>
      </w:r>
      <w:proofErr w:type="spellEnd"/>
      <w:r w:rsidRPr="00A2768F">
        <w:rPr>
          <w:rFonts w:cs="Arial"/>
        </w:rPr>
        <w:t xml:space="preserve"> oblastí z pohledu ČR. Jednání organiz</w:t>
      </w:r>
      <w:r w:rsidR="00A2768F">
        <w:rPr>
          <w:rFonts w:cs="Arial"/>
        </w:rPr>
        <w:t>oval Úřad vlády ve spolupráci s </w:t>
      </w:r>
      <w:r w:rsidRPr="00A2768F">
        <w:rPr>
          <w:rFonts w:cs="Arial"/>
        </w:rPr>
        <w:t>Institutem pro evropskou politiku EUROPEUM. Debaty se zúčastnili zástupci státní správy, zejména Ministerstva zahraničních věcí, sociálních par</w:t>
      </w:r>
      <w:r w:rsidR="00A2768F">
        <w:rPr>
          <w:rFonts w:cs="Arial"/>
        </w:rPr>
        <w:t>tnerů, neziskových organizací a </w:t>
      </w:r>
      <w:r w:rsidRPr="00A2768F">
        <w:rPr>
          <w:rFonts w:cs="Arial"/>
        </w:rPr>
        <w:t xml:space="preserve">akademické sféry.  </w:t>
      </w:r>
    </w:p>
    <w:p w14:paraId="5044C760" w14:textId="1E26ACD8" w:rsidR="00F35116" w:rsidRPr="00A2768F" w:rsidRDefault="00F35116" w:rsidP="00F35116">
      <w:pPr>
        <w:spacing w:line="240" w:lineRule="auto"/>
        <w:rPr>
          <w:rFonts w:cs="Arial"/>
          <w:bCs/>
        </w:rPr>
      </w:pPr>
      <w:r w:rsidRPr="00A2768F">
        <w:rPr>
          <w:rFonts w:cs="Arial"/>
          <w:bCs/>
        </w:rPr>
        <w:t>Diskuze se soustředila na tři základní otázky:</w:t>
      </w:r>
    </w:p>
    <w:p w14:paraId="79A18EE7" w14:textId="51391CB7" w:rsidR="00F35116" w:rsidRPr="00A2768F" w:rsidRDefault="00F35116" w:rsidP="00F35116">
      <w:pPr>
        <w:spacing w:line="240" w:lineRule="auto"/>
        <w:rPr>
          <w:rFonts w:cs="Arial"/>
          <w:b/>
          <w:bCs/>
        </w:rPr>
      </w:pPr>
      <w:r w:rsidRPr="00A2768F">
        <w:rPr>
          <w:rFonts w:cs="Arial"/>
          <w:b/>
          <w:bCs/>
        </w:rPr>
        <w:t>1.</w:t>
      </w:r>
      <w:r w:rsidRPr="00A2768F">
        <w:rPr>
          <w:rFonts w:cs="Arial"/>
          <w:b/>
          <w:bCs/>
        </w:rPr>
        <w:tab/>
        <w:t>Jak se nový geopolitický kontext v důsle</w:t>
      </w:r>
      <w:r w:rsidR="00A2768F">
        <w:rPr>
          <w:rFonts w:cs="Arial"/>
          <w:b/>
          <w:bCs/>
        </w:rPr>
        <w:t>dku války na Ukrajině projeví v </w:t>
      </w:r>
      <w:proofErr w:type="spellStart"/>
      <w:r w:rsidRPr="00A2768F">
        <w:rPr>
          <w:rFonts w:cs="Arial"/>
          <w:b/>
          <w:bCs/>
        </w:rPr>
        <w:t>indopacifické</w:t>
      </w:r>
      <w:proofErr w:type="spellEnd"/>
      <w:r w:rsidRPr="00A2768F">
        <w:rPr>
          <w:rFonts w:cs="Arial"/>
          <w:b/>
          <w:bCs/>
        </w:rPr>
        <w:t xml:space="preserve"> oblasti, včetně vztahů s Čínou, a jak by měla EU reagovat?</w:t>
      </w:r>
    </w:p>
    <w:p w14:paraId="45F43CBD" w14:textId="17C4EC23" w:rsidR="00F35116" w:rsidRPr="00A2768F" w:rsidRDefault="00F35116" w:rsidP="00F35116">
      <w:pPr>
        <w:spacing w:line="240" w:lineRule="auto"/>
        <w:rPr>
          <w:rFonts w:cs="Arial"/>
          <w:i/>
        </w:rPr>
      </w:pPr>
      <w:r w:rsidRPr="00A2768F">
        <w:rPr>
          <w:rFonts w:cs="Arial"/>
          <w:i/>
        </w:rPr>
        <w:t>V roce 2019 charakterizovaly evropské instituce Čínu současně jako partnera EU, ekonomického soupeře i systémového rivala. Od této doby se však bilaterální vztahy zhoršily (viz zmražení evropsko-čínské investiční dohody a vzájemné uvalení sankcí nebo ekonomický tlak na Litvu). Ve stejném období dochází ke zvýšení vojenských aktivit v jihočínském moři, ale i k omezování práv a svobod obyvatel Hongkongu a Sin-</w:t>
      </w:r>
      <w:proofErr w:type="spellStart"/>
      <w:r w:rsidRPr="00A2768F">
        <w:rPr>
          <w:rFonts w:cs="Arial"/>
          <w:i/>
        </w:rPr>
        <w:t>ťiangu</w:t>
      </w:r>
      <w:proofErr w:type="spellEnd"/>
      <w:r w:rsidRPr="00A2768F">
        <w:rPr>
          <w:rFonts w:cs="Arial"/>
          <w:i/>
        </w:rPr>
        <w:t xml:space="preserve">. V důsledku války na Ukrajině navíc dochází k novému přeskupení sil na základě sdílených hodnot, kdy nejen Čína, ale např. i Indie a některé země </w:t>
      </w:r>
      <w:proofErr w:type="spellStart"/>
      <w:r w:rsidRPr="00A2768F">
        <w:rPr>
          <w:rFonts w:cs="Arial"/>
          <w:i/>
        </w:rPr>
        <w:t>ASEANu</w:t>
      </w:r>
      <w:proofErr w:type="spellEnd"/>
      <w:r w:rsidRPr="00A2768F">
        <w:rPr>
          <w:rFonts w:cs="Arial"/>
          <w:i/>
        </w:rPr>
        <w:t xml:space="preserve"> trvají na své “neutralitě“ a ruskou agresi neodsuzují ani nepodporují mezinárodní sankce. Jaký dopad mohou mít tyto změny na geopolitické uspořádání a vztahy EU k </w:t>
      </w:r>
      <w:proofErr w:type="spellStart"/>
      <w:r w:rsidRPr="00A2768F">
        <w:rPr>
          <w:rFonts w:cs="Arial"/>
          <w:i/>
        </w:rPr>
        <w:t>Indo</w:t>
      </w:r>
      <w:proofErr w:type="spellEnd"/>
      <w:r w:rsidRPr="00A2768F">
        <w:rPr>
          <w:rFonts w:cs="Arial"/>
          <w:i/>
        </w:rPr>
        <w:t>-</w:t>
      </w:r>
      <w:r w:rsidR="00FB1155" w:rsidRPr="00A2768F">
        <w:rPr>
          <w:rFonts w:cs="Arial"/>
          <w:i/>
        </w:rPr>
        <w:t>P</w:t>
      </w:r>
      <w:r w:rsidRPr="00A2768F">
        <w:rPr>
          <w:rFonts w:cs="Arial"/>
          <w:i/>
        </w:rPr>
        <w:t>acifiku? Jak by měla EU zareagovat, pokud by se bezpečnostní situace v rámci regionu vyostřila, a to zejména v okolí Tchaj-wanu? Jak by mohla ČR přispět k modulaci evropské strategie vůči Číně? Do jaké míry je možné v rámci evropské strategie vyvažovat čínský vliv v regionu náležitým posílením vztahů EU s Indií?</w:t>
      </w:r>
    </w:p>
    <w:p w14:paraId="45CAEC36" w14:textId="77777777" w:rsidR="00F35116" w:rsidRPr="00A2768F" w:rsidRDefault="00F35116" w:rsidP="00F35116">
      <w:pPr>
        <w:spacing w:line="240" w:lineRule="auto"/>
        <w:rPr>
          <w:rFonts w:cs="Arial"/>
          <w:b/>
          <w:bCs/>
        </w:rPr>
      </w:pPr>
      <w:r w:rsidRPr="00A2768F">
        <w:rPr>
          <w:rFonts w:cs="Arial"/>
          <w:b/>
          <w:bCs/>
        </w:rPr>
        <w:t>2.</w:t>
      </w:r>
      <w:r w:rsidRPr="00A2768F">
        <w:rPr>
          <w:rFonts w:cs="Arial"/>
          <w:b/>
          <w:bCs/>
        </w:rPr>
        <w:tab/>
        <w:t>S kterými dalšími partnery by měla EU spolupracovat a na které by se měla přednostně zaměřit ČR v rámci svého předsednictví Rady EU?</w:t>
      </w:r>
    </w:p>
    <w:p w14:paraId="14D4AD62" w14:textId="3B7812CD" w:rsidR="00F35116" w:rsidRPr="00A2768F" w:rsidRDefault="00F35116" w:rsidP="00F35116">
      <w:pPr>
        <w:spacing w:line="240" w:lineRule="auto"/>
        <w:rPr>
          <w:rFonts w:cs="Arial"/>
          <w:i/>
        </w:rPr>
      </w:pPr>
      <w:r w:rsidRPr="00A2768F">
        <w:rPr>
          <w:rFonts w:cs="Arial"/>
          <w:i/>
        </w:rPr>
        <w:t xml:space="preserve">Území </w:t>
      </w:r>
      <w:proofErr w:type="spellStart"/>
      <w:r w:rsidRPr="00A2768F">
        <w:rPr>
          <w:rFonts w:cs="Arial"/>
          <w:i/>
        </w:rPr>
        <w:t>Indo</w:t>
      </w:r>
      <w:proofErr w:type="spellEnd"/>
      <w:r w:rsidRPr="00A2768F">
        <w:rPr>
          <w:rFonts w:cs="Arial"/>
          <w:i/>
        </w:rPr>
        <w:t>-</w:t>
      </w:r>
      <w:r w:rsidR="00FB1155" w:rsidRPr="00A2768F">
        <w:rPr>
          <w:rFonts w:cs="Arial"/>
          <w:i/>
        </w:rPr>
        <w:t>P</w:t>
      </w:r>
      <w:r w:rsidRPr="00A2768F">
        <w:rPr>
          <w:rFonts w:cs="Arial"/>
          <w:i/>
        </w:rPr>
        <w:t xml:space="preserve">acifiku je i oblastí mnoha příležitostí pro užší spolupráci. V kontextu českého předsednictví Rady EU je plánována řada akcí s partnery z regionu jak v Praze, tak v partnerských zemích. Během předsednictví se navíc v prosinci 2022 uskuteční výroční summit EU-ASEAN. Proto je zřejmé, že některé země musí být </w:t>
      </w:r>
      <w:proofErr w:type="spellStart"/>
      <w:r w:rsidRPr="00A2768F">
        <w:rPr>
          <w:rFonts w:cs="Arial"/>
          <w:i/>
        </w:rPr>
        <w:t>prioritizovány</w:t>
      </w:r>
      <w:proofErr w:type="spellEnd"/>
      <w:r w:rsidRPr="00A2768F">
        <w:rPr>
          <w:rFonts w:cs="Arial"/>
          <w:i/>
        </w:rPr>
        <w:t>. ČR zároveň udržuje velmi dobré vztahy s Jižní Koreou, Japonskem nebo Indií, Kambodža patří mezi projektové země české rozvojové pomoci. Během českého předsednictví Rady EU by pravděpodobně mohlo dojít k uzavření jednání o obchodní dohodě mezi EU a Novým Zélandem. V poslední řadě je ČR jedním z několika států s diplomatickým zastoupením v KLDR.</w:t>
      </w:r>
      <w:r w:rsidR="00FB1155" w:rsidRPr="00A2768F">
        <w:rPr>
          <w:rFonts w:cs="Arial"/>
          <w:i/>
        </w:rPr>
        <w:t xml:space="preserve"> </w:t>
      </w:r>
      <w:r w:rsidRPr="00A2768F">
        <w:rPr>
          <w:rFonts w:cs="Arial"/>
          <w:i/>
        </w:rPr>
        <w:t xml:space="preserve">Na kterou z těchto zemí, popř. skupinu států, by měla ČR strategicky zacílit? Jak může ČR přispět k rozvoji spolupráce EU s </w:t>
      </w:r>
      <w:proofErr w:type="spellStart"/>
      <w:r w:rsidRPr="00A2768F">
        <w:rPr>
          <w:rFonts w:cs="Arial"/>
          <w:i/>
        </w:rPr>
        <w:t>ASEANem</w:t>
      </w:r>
      <w:proofErr w:type="spellEnd"/>
      <w:r w:rsidRPr="00A2768F">
        <w:rPr>
          <w:rFonts w:cs="Arial"/>
          <w:i/>
        </w:rPr>
        <w:t xml:space="preserve"> i dalšími partnery v </w:t>
      </w:r>
      <w:proofErr w:type="spellStart"/>
      <w:r w:rsidRPr="00A2768F">
        <w:rPr>
          <w:rFonts w:cs="Arial"/>
          <w:i/>
        </w:rPr>
        <w:t>Indo</w:t>
      </w:r>
      <w:proofErr w:type="spellEnd"/>
      <w:r w:rsidRPr="00A2768F">
        <w:rPr>
          <w:rFonts w:cs="Arial"/>
          <w:i/>
        </w:rPr>
        <w:t>-</w:t>
      </w:r>
      <w:r w:rsidR="00FB1155" w:rsidRPr="00A2768F">
        <w:rPr>
          <w:rFonts w:cs="Arial"/>
          <w:i/>
        </w:rPr>
        <w:t>P</w:t>
      </w:r>
      <w:r w:rsidRPr="00A2768F">
        <w:rPr>
          <w:rFonts w:cs="Arial"/>
          <w:i/>
        </w:rPr>
        <w:t xml:space="preserve">acifiku?  </w:t>
      </w:r>
    </w:p>
    <w:p w14:paraId="3E0C534E" w14:textId="77777777" w:rsidR="00F35116" w:rsidRPr="00A2768F" w:rsidRDefault="00F35116" w:rsidP="00F35116">
      <w:pPr>
        <w:spacing w:line="240" w:lineRule="auto"/>
        <w:rPr>
          <w:rFonts w:cs="Arial"/>
          <w:b/>
          <w:bCs/>
        </w:rPr>
      </w:pPr>
      <w:r w:rsidRPr="00A2768F">
        <w:rPr>
          <w:rFonts w:cs="Arial"/>
          <w:b/>
          <w:bCs/>
        </w:rPr>
        <w:t>3.</w:t>
      </w:r>
      <w:r w:rsidRPr="00A2768F">
        <w:rPr>
          <w:rFonts w:cs="Arial"/>
          <w:b/>
          <w:bCs/>
        </w:rPr>
        <w:tab/>
        <w:t xml:space="preserve">Na které sektory v rámci evropské </w:t>
      </w:r>
      <w:proofErr w:type="spellStart"/>
      <w:r w:rsidRPr="00A2768F">
        <w:rPr>
          <w:rFonts w:cs="Arial"/>
          <w:b/>
          <w:bCs/>
        </w:rPr>
        <w:t>indo</w:t>
      </w:r>
      <w:proofErr w:type="spellEnd"/>
      <w:r w:rsidRPr="00A2768F">
        <w:rPr>
          <w:rFonts w:cs="Arial"/>
          <w:b/>
          <w:bCs/>
        </w:rPr>
        <w:t>-pacifické strategie by se měla EU nejvíce zaměřit a které by měla ČR preferovat v rámci předsednictví Rady?</w:t>
      </w:r>
    </w:p>
    <w:p w14:paraId="79E4B4D8" w14:textId="77777777" w:rsidR="00F35116" w:rsidRPr="00A2768F" w:rsidRDefault="00F35116" w:rsidP="00F35116">
      <w:pPr>
        <w:spacing w:line="240" w:lineRule="auto"/>
        <w:rPr>
          <w:rFonts w:cs="Arial"/>
          <w:i/>
        </w:rPr>
      </w:pPr>
      <w:r w:rsidRPr="00A2768F">
        <w:rPr>
          <w:rFonts w:cs="Arial"/>
          <w:i/>
        </w:rPr>
        <w:t xml:space="preserve">Evropská </w:t>
      </w:r>
      <w:proofErr w:type="spellStart"/>
      <w:r w:rsidRPr="00A2768F">
        <w:rPr>
          <w:rFonts w:cs="Arial"/>
          <w:i/>
        </w:rPr>
        <w:t>indo</w:t>
      </w:r>
      <w:proofErr w:type="spellEnd"/>
      <w:r w:rsidRPr="00A2768F">
        <w:rPr>
          <w:rFonts w:cs="Arial"/>
          <w:i/>
        </w:rPr>
        <w:t xml:space="preserve">-pacifická strategie identifikuje řadu sektorů, kde by EU mohla hlouběji spolupracovat se svými </w:t>
      </w:r>
      <w:proofErr w:type="spellStart"/>
      <w:r w:rsidRPr="00A2768F">
        <w:rPr>
          <w:rFonts w:cs="Arial"/>
          <w:i/>
        </w:rPr>
        <w:t>indo</w:t>
      </w:r>
      <w:proofErr w:type="spellEnd"/>
      <w:r w:rsidRPr="00A2768F">
        <w:rPr>
          <w:rFonts w:cs="Arial"/>
          <w:i/>
        </w:rPr>
        <w:t xml:space="preserve">-pacifickými partnery: od udržitelného rozvoje a boje proti současné i budoucím pandemiím přes zahraniční obchod a konektivitu (vč. návazné </w:t>
      </w:r>
      <w:proofErr w:type="spellStart"/>
      <w:r w:rsidRPr="00A2768F">
        <w:rPr>
          <w:rFonts w:cs="Arial"/>
          <w:i/>
        </w:rPr>
        <w:t>Global</w:t>
      </w:r>
      <w:proofErr w:type="spellEnd"/>
      <w:r w:rsidRPr="00A2768F">
        <w:rPr>
          <w:rFonts w:cs="Arial"/>
          <w:i/>
        </w:rPr>
        <w:t xml:space="preserve"> </w:t>
      </w:r>
      <w:proofErr w:type="spellStart"/>
      <w:r w:rsidRPr="00A2768F">
        <w:rPr>
          <w:rFonts w:cs="Arial"/>
          <w:i/>
        </w:rPr>
        <w:t>Gateway</w:t>
      </w:r>
      <w:proofErr w:type="spellEnd"/>
      <w:r w:rsidRPr="00A2768F">
        <w:rPr>
          <w:rFonts w:cs="Arial"/>
          <w:i/>
        </w:rPr>
        <w:t xml:space="preserve"> strategie) až po spolupráci v oblasti digitalizace a kybernetické bezpečnosti. Na které z těchto sektorů by se měla EU zaměřit? Které z těchto oblastí by měla ČR preferovat v rámci předsednictví Rady EU resp. ve shodě s dalšími státy předsednického tria? </w:t>
      </w:r>
    </w:p>
    <w:p w14:paraId="55FAB6AE" w14:textId="6BDDDC68" w:rsidR="00F35116" w:rsidRPr="00A2768F" w:rsidRDefault="00F35116" w:rsidP="00F35116">
      <w:pPr>
        <w:spacing w:line="240" w:lineRule="auto"/>
        <w:rPr>
          <w:rFonts w:cs="Arial"/>
        </w:rPr>
      </w:pPr>
      <w:r w:rsidRPr="00A2768F">
        <w:rPr>
          <w:rFonts w:cs="Arial"/>
        </w:rPr>
        <w:t xml:space="preserve">Podkladem pro diskuzi v rámci kulatého stolu byl diskuzní materiál, který vypracovaly </w:t>
      </w:r>
      <w:r w:rsidRPr="00A2768F">
        <w:rPr>
          <w:rFonts w:cs="Arial"/>
          <w:b/>
          <w:bCs/>
        </w:rPr>
        <w:t>Tereza Novotná</w:t>
      </w:r>
      <w:r w:rsidRPr="00A2768F">
        <w:rPr>
          <w:rFonts w:cs="Arial"/>
        </w:rPr>
        <w:t xml:space="preserve"> a </w:t>
      </w:r>
      <w:r w:rsidRPr="00A2768F">
        <w:rPr>
          <w:rFonts w:cs="Arial"/>
          <w:b/>
          <w:bCs/>
        </w:rPr>
        <w:t xml:space="preserve">Alexandra </w:t>
      </w:r>
      <w:proofErr w:type="spellStart"/>
      <w:r w:rsidRPr="00A2768F">
        <w:rPr>
          <w:rFonts w:cs="Arial"/>
          <w:b/>
          <w:bCs/>
        </w:rPr>
        <w:t>Visnerová</w:t>
      </w:r>
      <w:proofErr w:type="spellEnd"/>
      <w:r w:rsidRPr="00A2768F">
        <w:rPr>
          <w:rFonts w:cs="Arial"/>
        </w:rPr>
        <w:t xml:space="preserve"> z Institutu pro evropskou politiku EUROPEUM a tři diskuzní stanoviska. První stanovisko vypracoval velvyslanec </w:t>
      </w:r>
      <w:r w:rsidRPr="00A2768F">
        <w:rPr>
          <w:rFonts w:cs="Arial"/>
          <w:b/>
          <w:bCs/>
        </w:rPr>
        <w:t>Libor Sečka</w:t>
      </w:r>
      <w:r w:rsidRPr="00A2768F">
        <w:rPr>
          <w:rFonts w:cs="Arial"/>
        </w:rPr>
        <w:t xml:space="preserve">, zvláštní zmocněnec pro </w:t>
      </w:r>
      <w:proofErr w:type="spellStart"/>
      <w:r w:rsidRPr="00A2768F">
        <w:rPr>
          <w:rFonts w:cs="Arial"/>
        </w:rPr>
        <w:lastRenderedPageBreak/>
        <w:t>indopacifickou</w:t>
      </w:r>
      <w:proofErr w:type="spellEnd"/>
      <w:r w:rsidRPr="00A2768F">
        <w:rPr>
          <w:rFonts w:cs="Arial"/>
        </w:rPr>
        <w:t xml:space="preserve"> oblast, druhé stanovisko poskytl </w:t>
      </w:r>
      <w:r w:rsidRPr="00A2768F">
        <w:rPr>
          <w:rFonts w:cs="Arial"/>
          <w:b/>
          <w:bCs/>
        </w:rPr>
        <w:t>Richard Hlavatý</w:t>
      </w:r>
      <w:r w:rsidR="00A2768F">
        <w:rPr>
          <w:rFonts w:cs="Arial"/>
        </w:rPr>
        <w:t xml:space="preserve"> z Ministerstva průmyslu a </w:t>
      </w:r>
      <w:r w:rsidRPr="00A2768F">
        <w:rPr>
          <w:rFonts w:cs="Arial"/>
        </w:rPr>
        <w:t xml:space="preserve">obchodu ČR a třetí stanovisko představil </w:t>
      </w:r>
      <w:r w:rsidRPr="00A2768F">
        <w:rPr>
          <w:rFonts w:cs="Arial"/>
          <w:b/>
          <w:bCs/>
        </w:rPr>
        <w:t xml:space="preserve">Jiří </w:t>
      </w:r>
      <w:proofErr w:type="spellStart"/>
      <w:r w:rsidRPr="00A2768F">
        <w:rPr>
          <w:rFonts w:cs="Arial"/>
          <w:b/>
          <w:bCs/>
        </w:rPr>
        <w:t>Hansl</w:t>
      </w:r>
      <w:proofErr w:type="spellEnd"/>
      <w:r w:rsidRPr="00A2768F">
        <w:rPr>
          <w:rFonts w:cs="Arial"/>
        </w:rPr>
        <w:t xml:space="preserve"> z Hospodářské komory ČR. </w:t>
      </w:r>
    </w:p>
    <w:p w14:paraId="0E3F26ED" w14:textId="0B669B70" w:rsidR="00F35116" w:rsidRPr="00A2768F" w:rsidRDefault="00F35116" w:rsidP="00F35116">
      <w:pPr>
        <w:spacing w:line="240" w:lineRule="auto"/>
        <w:rPr>
          <w:rFonts w:cs="Arial"/>
        </w:rPr>
      </w:pPr>
      <w:r w:rsidRPr="00A2768F">
        <w:rPr>
          <w:rFonts w:cs="Arial"/>
        </w:rPr>
        <w:t xml:space="preserve">Úvodní slovo pronesl </w:t>
      </w:r>
      <w:r w:rsidR="00222ACE" w:rsidRPr="00A2768F">
        <w:rPr>
          <w:rFonts w:cs="Arial"/>
        </w:rPr>
        <w:t>náměstek pro řízení sekce pro evropské záležitosti</w:t>
      </w:r>
      <w:r w:rsidR="004832F8" w:rsidRPr="00A2768F">
        <w:rPr>
          <w:rFonts w:cs="Arial"/>
        </w:rPr>
        <w:t xml:space="preserve"> </w:t>
      </w:r>
      <w:r w:rsidR="00222ACE" w:rsidRPr="00A2768F">
        <w:rPr>
          <w:rFonts w:cs="Arial"/>
        </w:rPr>
        <w:t>Úřad</w:t>
      </w:r>
      <w:r w:rsidR="004832F8" w:rsidRPr="00A2768F">
        <w:rPr>
          <w:rFonts w:cs="Arial"/>
        </w:rPr>
        <w:t>u</w:t>
      </w:r>
      <w:r w:rsidR="00222ACE" w:rsidRPr="00A2768F">
        <w:rPr>
          <w:rFonts w:cs="Arial"/>
        </w:rPr>
        <w:t xml:space="preserve"> vlády ČR</w:t>
      </w:r>
      <w:r w:rsidR="004832F8" w:rsidRPr="00A2768F">
        <w:rPr>
          <w:rFonts w:cs="Arial"/>
        </w:rPr>
        <w:t>,</w:t>
      </w:r>
      <w:r w:rsidR="00222ACE" w:rsidRPr="00A2768F">
        <w:rPr>
          <w:rFonts w:cs="Arial"/>
        </w:rPr>
        <w:t xml:space="preserve"> </w:t>
      </w:r>
      <w:r w:rsidRPr="00A2768F">
        <w:rPr>
          <w:rFonts w:cs="Arial"/>
          <w:b/>
          <w:bCs/>
        </w:rPr>
        <w:t>Štěpán Černý</w:t>
      </w:r>
      <w:r w:rsidRPr="00A2768F">
        <w:rPr>
          <w:rFonts w:cs="Arial"/>
        </w:rPr>
        <w:t>, který zejména upozornil na to, že vzhledem k probíhajícímu válečnému konfliktu na Ukrajině a přístupu třetích zemí (jako např</w:t>
      </w:r>
      <w:r w:rsidR="00A2768F">
        <w:rPr>
          <w:rFonts w:cs="Arial"/>
        </w:rPr>
        <w:t>. Čína) se bude Evropská unie v </w:t>
      </w:r>
      <w:r w:rsidRPr="00A2768F">
        <w:rPr>
          <w:rFonts w:cs="Arial"/>
        </w:rPr>
        <w:t>budoucnosti zaměřovat na volný obchod s těmi partnery, s kterými sdílí své hodnoty, ať už jde o lidská práva nebo ochranu přírody. Proto budeme též pos</w:t>
      </w:r>
      <w:r w:rsidR="00A2768F">
        <w:rPr>
          <w:rFonts w:cs="Arial"/>
        </w:rPr>
        <w:t>ilovat vazby s těmi partnery, s </w:t>
      </w:r>
      <w:r w:rsidRPr="00A2768F">
        <w:rPr>
          <w:rFonts w:cs="Arial"/>
        </w:rPr>
        <w:t>kterými tyto hodnoty sdílíme, a i přes rodící se multipolární svět budeme klást důraz na efektivní multilateralismus. Na tyto aspekty se soustředí i nadcházející české předsednictví Rady EU v druhé polovině roku 2022.</w:t>
      </w:r>
    </w:p>
    <w:p w14:paraId="27C51349" w14:textId="7C049606" w:rsidR="00F35116" w:rsidRPr="00A2768F" w:rsidRDefault="00F35116" w:rsidP="00F35116">
      <w:pPr>
        <w:spacing w:line="240" w:lineRule="auto"/>
        <w:rPr>
          <w:rFonts w:cs="Arial"/>
        </w:rPr>
      </w:pPr>
      <w:r w:rsidRPr="00A2768F">
        <w:rPr>
          <w:rFonts w:cs="Arial"/>
        </w:rPr>
        <w:t xml:space="preserve">Podkladový materiál i jednotlivé otázky pro diskusi Národního konventu představila jejich spoluautorka, </w:t>
      </w:r>
      <w:r w:rsidRPr="00A2768F">
        <w:rPr>
          <w:rFonts w:cs="Arial"/>
          <w:b/>
          <w:bCs/>
        </w:rPr>
        <w:t>Tereza Novotná</w:t>
      </w:r>
      <w:r w:rsidRPr="00A2768F">
        <w:rPr>
          <w:rFonts w:cs="Arial"/>
        </w:rPr>
        <w:t xml:space="preserve">, výzkumná spolupracovnice Institutu pro evropskou politiku EUROPEUM. V prezentaci zdůraznila tři oblasti, a to geopolitický kontext zejména ve vztahu k rostoucímu napětí a moci Číny a válce na Ukrajině, budoucí spolupráci s dalšími </w:t>
      </w:r>
      <w:proofErr w:type="spellStart"/>
      <w:r w:rsidRPr="00A2768F">
        <w:rPr>
          <w:rFonts w:cs="Arial"/>
        </w:rPr>
        <w:t>indopacifickými</w:t>
      </w:r>
      <w:proofErr w:type="spellEnd"/>
      <w:r w:rsidRPr="00A2768F">
        <w:rPr>
          <w:rFonts w:cs="Arial"/>
        </w:rPr>
        <w:t xml:space="preserve"> partnery a sektorovou část, tedy sektory</w:t>
      </w:r>
      <w:r w:rsidR="00331E68" w:rsidRPr="00A2768F">
        <w:rPr>
          <w:rFonts w:cs="Arial"/>
        </w:rPr>
        <w:t>, na které</w:t>
      </w:r>
      <w:r w:rsidRPr="00A2768F">
        <w:rPr>
          <w:rFonts w:cs="Arial"/>
        </w:rPr>
        <w:t xml:space="preserve"> by se měla EU zaměřit během českého předsednictví. V rámci geopolitického kontextu je podle Novotné klíčová válka na Ukrajině a jak se k ní státy </w:t>
      </w:r>
      <w:proofErr w:type="spellStart"/>
      <w:r w:rsidRPr="00A2768F">
        <w:rPr>
          <w:rFonts w:cs="Arial"/>
        </w:rPr>
        <w:t>Indo</w:t>
      </w:r>
      <w:proofErr w:type="spellEnd"/>
      <w:r w:rsidRPr="00A2768F">
        <w:rPr>
          <w:rFonts w:cs="Arial"/>
        </w:rPr>
        <w:t xml:space="preserve">-Pacifiku postaví. Na jedné straně jde jak o Čínu, která se snaží hrát dvojí hru na obě strany, tak další státy </w:t>
      </w:r>
      <w:proofErr w:type="spellStart"/>
      <w:r w:rsidRPr="00A2768F">
        <w:rPr>
          <w:rFonts w:cs="Arial"/>
        </w:rPr>
        <w:t>Indo</w:t>
      </w:r>
      <w:proofErr w:type="spellEnd"/>
      <w:r w:rsidRPr="00A2768F">
        <w:rPr>
          <w:rFonts w:cs="Arial"/>
        </w:rPr>
        <w:t xml:space="preserve">-Pacifiku, jako např. Indii, která obhajuje svoji „neutralitu“, ale i další země (např. </w:t>
      </w:r>
      <w:proofErr w:type="spellStart"/>
      <w:r w:rsidRPr="00A2768F">
        <w:rPr>
          <w:rFonts w:cs="Arial"/>
        </w:rPr>
        <w:t>ASEANu</w:t>
      </w:r>
      <w:proofErr w:type="spellEnd"/>
      <w:r w:rsidRPr="00A2768F">
        <w:rPr>
          <w:rFonts w:cs="Arial"/>
        </w:rPr>
        <w:t>), které ruskou agresi odsuzují pouze rétoricky, ale nikoli podporou mezinárodních sankcí. Záro</w:t>
      </w:r>
      <w:r w:rsidR="00A2768F">
        <w:rPr>
          <w:rFonts w:cs="Arial"/>
        </w:rPr>
        <w:t>veň očekávají evropskou pomoc v </w:t>
      </w:r>
      <w:r w:rsidRPr="00A2768F">
        <w:rPr>
          <w:rFonts w:cs="Arial"/>
        </w:rPr>
        <w:t xml:space="preserve">rámci svých konfliktů s Čínou. EU vidí Čínu jako vyjednávacího partnera i systemického rivala, nicméně upozorňuje, že je v zájmu EU, a tedy i ČR, ale i Číny, urovnat ekonomické vztahy, a to i vzhledem k obchodní dohodě mezi Washingtonem a Pekingem. Novotná též nastínila základní obrysy americké </w:t>
      </w:r>
      <w:proofErr w:type="spellStart"/>
      <w:r w:rsidRPr="00A2768F">
        <w:rPr>
          <w:rFonts w:cs="Arial"/>
        </w:rPr>
        <w:t>indopacifické</w:t>
      </w:r>
      <w:proofErr w:type="spellEnd"/>
      <w:r w:rsidRPr="00A2768F">
        <w:rPr>
          <w:rFonts w:cs="Arial"/>
        </w:rPr>
        <w:t xml:space="preserve"> strategie. Na rozdíl od ostatních dokumentů, vč. evropské strategie, vnímají USA ve své  </w:t>
      </w:r>
      <w:proofErr w:type="spellStart"/>
      <w:r w:rsidRPr="00A2768F">
        <w:rPr>
          <w:rFonts w:cs="Arial"/>
        </w:rPr>
        <w:t>indopacifické</w:t>
      </w:r>
      <w:proofErr w:type="spellEnd"/>
      <w:r w:rsidRPr="00A2768F">
        <w:rPr>
          <w:rFonts w:cs="Arial"/>
        </w:rPr>
        <w:t xml:space="preserve"> strategii narůstající roli Číny jako hlavní výzvu. Posilování vztahů v </w:t>
      </w:r>
      <w:proofErr w:type="spellStart"/>
      <w:r w:rsidRPr="00A2768F">
        <w:rPr>
          <w:rFonts w:cs="Arial"/>
        </w:rPr>
        <w:t>Indopacifiku</w:t>
      </w:r>
      <w:proofErr w:type="spellEnd"/>
      <w:r w:rsidRPr="00A2768F">
        <w:rPr>
          <w:rFonts w:cs="Arial"/>
        </w:rPr>
        <w:t xml:space="preserve"> je z poh</w:t>
      </w:r>
      <w:r w:rsidR="00A2768F">
        <w:rPr>
          <w:rFonts w:cs="Arial"/>
        </w:rPr>
        <w:t>ledu USA vytvářením protiváhy v </w:t>
      </w:r>
      <w:r w:rsidRPr="00A2768F">
        <w:rPr>
          <w:rFonts w:cs="Arial"/>
        </w:rPr>
        <w:t>regionu vůči Číně</w:t>
      </w:r>
      <w:r w:rsidR="009A6974" w:rsidRPr="00A2768F">
        <w:rPr>
          <w:rFonts w:cs="Arial"/>
        </w:rPr>
        <w:t xml:space="preserve"> a za tímto účelem vytvářejí USA i nová spojenectví v </w:t>
      </w:r>
      <w:proofErr w:type="spellStart"/>
      <w:r w:rsidR="009A6974" w:rsidRPr="00A2768F">
        <w:rPr>
          <w:rFonts w:cs="Arial"/>
        </w:rPr>
        <w:t>Indo</w:t>
      </w:r>
      <w:proofErr w:type="spellEnd"/>
      <w:r w:rsidR="009A6974" w:rsidRPr="00A2768F">
        <w:rPr>
          <w:rFonts w:cs="Arial"/>
        </w:rPr>
        <w:t xml:space="preserve">-Pacifiku, jako je tzv. AUKUS nebo </w:t>
      </w:r>
      <w:proofErr w:type="spellStart"/>
      <w:r w:rsidR="009A6974" w:rsidRPr="00A2768F">
        <w:rPr>
          <w:rFonts w:cs="Arial"/>
        </w:rPr>
        <w:t>Quad</w:t>
      </w:r>
      <w:proofErr w:type="spellEnd"/>
      <w:r w:rsidR="009A6974" w:rsidRPr="00A2768F">
        <w:rPr>
          <w:rFonts w:cs="Arial"/>
        </w:rPr>
        <w:t>.</w:t>
      </w:r>
    </w:p>
    <w:p w14:paraId="552A92E0" w14:textId="72609C8B" w:rsidR="00F35116" w:rsidRPr="00A2768F" w:rsidRDefault="00F35116" w:rsidP="00F35116">
      <w:pPr>
        <w:spacing w:line="240" w:lineRule="auto"/>
        <w:rPr>
          <w:rFonts w:cs="Arial"/>
        </w:rPr>
      </w:pPr>
      <w:r w:rsidRPr="00A2768F">
        <w:rPr>
          <w:rFonts w:cs="Arial"/>
        </w:rPr>
        <w:t xml:space="preserve">V kontextu budoucí spolupráce by měla EU vytvářet nová partnerství, </w:t>
      </w:r>
      <w:r w:rsidR="009A6974" w:rsidRPr="00A2768F">
        <w:rPr>
          <w:rFonts w:cs="Arial"/>
        </w:rPr>
        <w:t>zejména</w:t>
      </w:r>
      <w:r w:rsidRPr="00A2768F">
        <w:rPr>
          <w:rFonts w:cs="Arial"/>
        </w:rPr>
        <w:t xml:space="preserve"> s </w:t>
      </w:r>
      <w:proofErr w:type="spellStart"/>
      <w:r w:rsidRPr="00A2768F">
        <w:rPr>
          <w:rFonts w:cs="Arial"/>
        </w:rPr>
        <w:t>ASEANem</w:t>
      </w:r>
      <w:proofErr w:type="spellEnd"/>
      <w:r w:rsidRPr="00A2768F">
        <w:rPr>
          <w:rFonts w:cs="Arial"/>
        </w:rPr>
        <w:t xml:space="preserve">, Japonskem, Jižní Koreou či Novým Zélandem. Nadcházející české předsednictví Rady EU poskytuje mnoho příležitostí a je na ČR, jak této možnosti využije. V rámci sektorové </w:t>
      </w:r>
      <w:proofErr w:type="gramStart"/>
      <w:r w:rsidRPr="00A2768F">
        <w:rPr>
          <w:rFonts w:cs="Arial"/>
        </w:rPr>
        <w:t>časti</w:t>
      </w:r>
      <w:proofErr w:type="gramEnd"/>
      <w:r w:rsidRPr="00A2768F">
        <w:rPr>
          <w:rFonts w:cs="Arial"/>
        </w:rPr>
        <w:t xml:space="preserve"> by se </w:t>
      </w:r>
      <w:proofErr w:type="gramStart"/>
      <w:r w:rsidRPr="00A2768F">
        <w:rPr>
          <w:rFonts w:cs="Arial"/>
        </w:rPr>
        <w:t>měl</w:t>
      </w:r>
      <w:proofErr w:type="gramEnd"/>
      <w:r w:rsidRPr="00A2768F">
        <w:rPr>
          <w:rFonts w:cs="Arial"/>
        </w:rPr>
        <w:t xml:space="preserve"> klást </w:t>
      </w:r>
      <w:r w:rsidR="00331E68" w:rsidRPr="00A2768F">
        <w:rPr>
          <w:rFonts w:cs="Arial"/>
        </w:rPr>
        <w:t xml:space="preserve">důraz </w:t>
      </w:r>
      <w:r w:rsidRPr="00A2768F">
        <w:rPr>
          <w:rFonts w:cs="Arial"/>
        </w:rPr>
        <w:t xml:space="preserve">na konektivitu, energetickou bezpečnost, </w:t>
      </w:r>
      <w:r w:rsidR="00A2768F">
        <w:rPr>
          <w:rFonts w:cs="Arial"/>
        </w:rPr>
        <w:t>volný obchod a oblast zdraví (v </w:t>
      </w:r>
      <w:r w:rsidRPr="00A2768F">
        <w:rPr>
          <w:rFonts w:cs="Arial"/>
        </w:rPr>
        <w:t xml:space="preserve">kontextu pandemie). </w:t>
      </w:r>
    </w:p>
    <w:p w14:paraId="4D6B7510" w14:textId="4E43D133" w:rsidR="009A6974" w:rsidRPr="00A2768F" w:rsidRDefault="00F35116" w:rsidP="00F35116">
      <w:pPr>
        <w:spacing w:line="240" w:lineRule="auto"/>
        <w:rPr>
          <w:rFonts w:cs="Arial"/>
        </w:rPr>
      </w:pPr>
      <w:r w:rsidRPr="00A2768F">
        <w:rPr>
          <w:rFonts w:cs="Arial"/>
        </w:rPr>
        <w:t xml:space="preserve">První stanovisko vypracované </w:t>
      </w:r>
      <w:r w:rsidRPr="00A2768F">
        <w:rPr>
          <w:rFonts w:cs="Arial"/>
          <w:b/>
          <w:bCs/>
        </w:rPr>
        <w:t>Liborem Sečkou</w:t>
      </w:r>
      <w:r w:rsidRPr="00A2768F">
        <w:rPr>
          <w:rFonts w:cs="Arial"/>
        </w:rPr>
        <w:t xml:space="preserve">, zvláštním zmocněncem pro </w:t>
      </w:r>
      <w:proofErr w:type="spellStart"/>
      <w:r w:rsidRPr="00A2768F">
        <w:rPr>
          <w:rFonts w:cs="Arial"/>
        </w:rPr>
        <w:t>indopacifickou</w:t>
      </w:r>
      <w:proofErr w:type="spellEnd"/>
      <w:r w:rsidRPr="00A2768F">
        <w:rPr>
          <w:rFonts w:cs="Arial"/>
        </w:rPr>
        <w:t xml:space="preserve"> oblast, </w:t>
      </w:r>
      <w:r w:rsidR="009A6974" w:rsidRPr="00A2768F">
        <w:rPr>
          <w:rFonts w:cs="Arial"/>
        </w:rPr>
        <w:t>nejprve rozdělilo členské státy EU podle toho, zda následují ve svém přístupu k </w:t>
      </w:r>
      <w:proofErr w:type="spellStart"/>
      <w:r w:rsidR="009A6974" w:rsidRPr="00A2768F">
        <w:rPr>
          <w:rFonts w:cs="Arial"/>
        </w:rPr>
        <w:t>Indo</w:t>
      </w:r>
      <w:proofErr w:type="spellEnd"/>
      <w:r w:rsidR="009A6974" w:rsidRPr="00A2768F">
        <w:rPr>
          <w:rFonts w:cs="Arial"/>
        </w:rPr>
        <w:t xml:space="preserve">-Pacifiku francouzský, německý či holandský přístup (kam spadá i ČR) nebo zda v podstatě příliš velký zájem o region nemají. Přístupy všech zemí nicméně vzhledem ke geopolitickým důsledkům války na Ukrajině v poslední době konvergují. Dalším </w:t>
      </w:r>
      <w:r w:rsidRPr="00A2768F">
        <w:rPr>
          <w:rFonts w:cs="Arial"/>
        </w:rPr>
        <w:t>cíl</w:t>
      </w:r>
      <w:r w:rsidR="009A6974" w:rsidRPr="00A2768F">
        <w:rPr>
          <w:rFonts w:cs="Arial"/>
        </w:rPr>
        <w:t>em stanoviska bylo</w:t>
      </w:r>
      <w:r w:rsidRPr="00A2768F">
        <w:rPr>
          <w:rFonts w:cs="Arial"/>
        </w:rPr>
        <w:t xml:space="preserve"> nastínit </w:t>
      </w:r>
      <w:r w:rsidR="009A6974" w:rsidRPr="00A2768F">
        <w:rPr>
          <w:rFonts w:cs="Arial"/>
        </w:rPr>
        <w:t>program</w:t>
      </w:r>
      <w:r w:rsidRPr="00A2768F">
        <w:rPr>
          <w:rFonts w:cs="Arial"/>
        </w:rPr>
        <w:t xml:space="preserve"> Č</w:t>
      </w:r>
      <w:r w:rsidR="009A6974" w:rsidRPr="00A2768F">
        <w:rPr>
          <w:rFonts w:cs="Arial"/>
        </w:rPr>
        <w:t xml:space="preserve">R </w:t>
      </w:r>
      <w:r w:rsidRPr="00A2768F">
        <w:rPr>
          <w:rFonts w:cs="Arial"/>
        </w:rPr>
        <w:t xml:space="preserve">během předsednictví Rady EU – zejména </w:t>
      </w:r>
      <w:r w:rsidRPr="00A2768F">
        <w:rPr>
          <w:rFonts w:cs="Arial"/>
          <w:i/>
          <w:iCs/>
        </w:rPr>
        <w:t xml:space="preserve">Prague </w:t>
      </w:r>
      <w:proofErr w:type="spellStart"/>
      <w:r w:rsidRPr="00A2768F">
        <w:rPr>
          <w:rFonts w:cs="Arial"/>
          <w:i/>
          <w:iCs/>
        </w:rPr>
        <w:t>High</w:t>
      </w:r>
      <w:proofErr w:type="spellEnd"/>
      <w:r w:rsidRPr="00A2768F">
        <w:rPr>
          <w:rFonts w:cs="Arial"/>
          <w:i/>
          <w:iCs/>
        </w:rPr>
        <w:t xml:space="preserve"> </w:t>
      </w:r>
      <w:proofErr w:type="spellStart"/>
      <w:r w:rsidRPr="00A2768F">
        <w:rPr>
          <w:rFonts w:cs="Arial"/>
          <w:i/>
          <w:iCs/>
        </w:rPr>
        <w:t>Level</w:t>
      </w:r>
      <w:proofErr w:type="spellEnd"/>
      <w:r w:rsidRPr="00A2768F">
        <w:rPr>
          <w:rFonts w:cs="Arial"/>
          <w:i/>
          <w:iCs/>
        </w:rPr>
        <w:t xml:space="preserve"> </w:t>
      </w:r>
      <w:proofErr w:type="spellStart"/>
      <w:r w:rsidRPr="00A2768F">
        <w:rPr>
          <w:rFonts w:cs="Arial"/>
          <w:i/>
          <w:iCs/>
        </w:rPr>
        <w:t>Dialogue</w:t>
      </w:r>
      <w:proofErr w:type="spellEnd"/>
      <w:r w:rsidRPr="00A2768F">
        <w:rPr>
          <w:rFonts w:cs="Arial"/>
          <w:i/>
          <w:iCs/>
        </w:rPr>
        <w:t xml:space="preserve"> on </w:t>
      </w:r>
      <w:proofErr w:type="spellStart"/>
      <w:r w:rsidRPr="00A2768F">
        <w:rPr>
          <w:rFonts w:cs="Arial"/>
          <w:i/>
          <w:iCs/>
        </w:rPr>
        <w:t>the</w:t>
      </w:r>
      <w:proofErr w:type="spellEnd"/>
      <w:r w:rsidRPr="00A2768F">
        <w:rPr>
          <w:rFonts w:cs="Arial"/>
          <w:i/>
          <w:iCs/>
        </w:rPr>
        <w:t xml:space="preserve"> </w:t>
      </w:r>
      <w:proofErr w:type="spellStart"/>
      <w:r w:rsidRPr="00A2768F">
        <w:rPr>
          <w:rFonts w:cs="Arial"/>
          <w:i/>
          <w:iCs/>
        </w:rPr>
        <w:t>Indo-Pacific</w:t>
      </w:r>
      <w:proofErr w:type="spellEnd"/>
      <w:r w:rsidRPr="00A2768F">
        <w:rPr>
          <w:rFonts w:cs="Arial"/>
        </w:rPr>
        <w:t xml:space="preserve">, který je plánovaný </w:t>
      </w:r>
      <w:r w:rsidR="009A6974" w:rsidRPr="00A2768F">
        <w:rPr>
          <w:rFonts w:cs="Arial"/>
        </w:rPr>
        <w:t xml:space="preserve">Ministerstvem zahraničních věcí </w:t>
      </w:r>
      <w:r w:rsidRPr="00A2768F">
        <w:rPr>
          <w:rFonts w:cs="Arial"/>
        </w:rPr>
        <w:t xml:space="preserve">na červen </w:t>
      </w:r>
      <w:r w:rsidR="009A6974" w:rsidRPr="00A2768F">
        <w:rPr>
          <w:rFonts w:cs="Arial"/>
        </w:rPr>
        <w:t xml:space="preserve">2022, </w:t>
      </w:r>
      <w:r w:rsidRPr="00A2768F">
        <w:rPr>
          <w:rFonts w:cs="Arial"/>
        </w:rPr>
        <w:t>a má přinést výměnu podnětů a zkušeností s</w:t>
      </w:r>
      <w:r w:rsidR="009A6974" w:rsidRPr="00A2768F">
        <w:rPr>
          <w:rFonts w:cs="Arial"/>
        </w:rPr>
        <w:t xml:space="preserve"> 60 </w:t>
      </w:r>
      <w:r w:rsidRPr="00A2768F">
        <w:rPr>
          <w:rFonts w:cs="Arial"/>
        </w:rPr>
        <w:t>hosty nejen z Evropy, region</w:t>
      </w:r>
      <w:r w:rsidR="00345F70" w:rsidRPr="00A2768F">
        <w:rPr>
          <w:rFonts w:cs="Arial"/>
        </w:rPr>
        <w:t>u, ale i</w:t>
      </w:r>
      <w:r w:rsidR="009A6974" w:rsidRPr="00A2768F">
        <w:rPr>
          <w:rFonts w:cs="Arial"/>
        </w:rPr>
        <w:t xml:space="preserve"> </w:t>
      </w:r>
      <w:r w:rsidR="00345F70" w:rsidRPr="00A2768F">
        <w:rPr>
          <w:rFonts w:cs="Arial"/>
        </w:rPr>
        <w:t xml:space="preserve">z Británie a </w:t>
      </w:r>
      <w:r w:rsidR="009A6974" w:rsidRPr="00A2768F">
        <w:rPr>
          <w:rFonts w:cs="Arial"/>
        </w:rPr>
        <w:t>USA</w:t>
      </w:r>
      <w:r w:rsidRPr="00A2768F">
        <w:rPr>
          <w:rFonts w:cs="Arial"/>
        </w:rPr>
        <w:t>. Vzhledem k roli Rusk</w:t>
      </w:r>
      <w:r w:rsidR="009A6974" w:rsidRPr="00A2768F">
        <w:rPr>
          <w:rFonts w:cs="Arial"/>
        </w:rPr>
        <w:t>a</w:t>
      </w:r>
      <w:r w:rsidRPr="00A2768F">
        <w:rPr>
          <w:rFonts w:cs="Arial"/>
        </w:rPr>
        <w:t xml:space="preserve"> a Čín</w:t>
      </w:r>
      <w:r w:rsidR="009A6974" w:rsidRPr="00A2768F">
        <w:rPr>
          <w:rFonts w:cs="Arial"/>
        </w:rPr>
        <w:t>y</w:t>
      </w:r>
      <w:r w:rsidRPr="00A2768F">
        <w:rPr>
          <w:rFonts w:cs="Arial"/>
        </w:rPr>
        <w:t xml:space="preserve">, </w:t>
      </w:r>
      <w:r w:rsidR="009A6974" w:rsidRPr="00A2768F">
        <w:rPr>
          <w:rFonts w:cs="Arial"/>
        </w:rPr>
        <w:t xml:space="preserve">tj. aktérů, </w:t>
      </w:r>
      <w:r w:rsidRPr="00A2768F">
        <w:rPr>
          <w:rFonts w:cs="Arial"/>
        </w:rPr>
        <w:t xml:space="preserve">kteří revidují mezinárodní pořádek, se důraz bude klást na bezpečnost, i když pro ČR je trvalou prioritou volný obchod. </w:t>
      </w:r>
      <w:r w:rsidR="009A6974" w:rsidRPr="00A2768F">
        <w:rPr>
          <w:rFonts w:cs="Arial"/>
        </w:rPr>
        <w:t xml:space="preserve">Velvyslanec Sečka též vyzdvihl další aktivity v rámci českého předsednictví, vč. 6-7 konkrétních projektů v oblasti kybernetické bezpečnosti, vesmírného programu, ochrany přírody a námořního práva. Čtyři z těchto akcí se uskuteční v </w:t>
      </w:r>
      <w:proofErr w:type="spellStart"/>
      <w:r w:rsidR="009A6974" w:rsidRPr="00A2768F">
        <w:rPr>
          <w:rFonts w:cs="Arial"/>
        </w:rPr>
        <w:t>Indo</w:t>
      </w:r>
      <w:proofErr w:type="spellEnd"/>
      <w:r w:rsidR="009A6974" w:rsidRPr="00A2768F">
        <w:rPr>
          <w:rFonts w:cs="Arial"/>
        </w:rPr>
        <w:t>-Pacifiku a dvě v Praze.</w:t>
      </w:r>
    </w:p>
    <w:p w14:paraId="1ABC7CD9" w14:textId="6114B414" w:rsidR="00F35116" w:rsidRPr="00A2768F" w:rsidRDefault="00F35116" w:rsidP="00F35116">
      <w:pPr>
        <w:spacing w:line="240" w:lineRule="auto"/>
        <w:rPr>
          <w:rFonts w:cs="Arial"/>
        </w:rPr>
      </w:pPr>
      <w:r w:rsidRPr="00A2768F">
        <w:rPr>
          <w:rFonts w:cs="Arial"/>
          <w:b/>
          <w:bCs/>
        </w:rPr>
        <w:t>Richard Hlavatý</w:t>
      </w:r>
      <w:r w:rsidRPr="00A2768F">
        <w:rPr>
          <w:rFonts w:cs="Arial"/>
        </w:rPr>
        <w:t xml:space="preserve"> z Ministerstva průmyslu a obchodu ČR přiblíži</w:t>
      </w:r>
      <w:r w:rsidR="00A2768F">
        <w:rPr>
          <w:rFonts w:cs="Arial"/>
        </w:rPr>
        <w:t>l již existující aktivity MPO v </w:t>
      </w:r>
      <w:r w:rsidRPr="00A2768F">
        <w:rPr>
          <w:rFonts w:cs="Arial"/>
        </w:rPr>
        <w:t xml:space="preserve">regionu a plány do budoucna. </w:t>
      </w:r>
      <w:r w:rsidR="00C40F6B" w:rsidRPr="00A2768F">
        <w:rPr>
          <w:rFonts w:cs="Arial"/>
        </w:rPr>
        <w:t>ČR má v </w:t>
      </w:r>
      <w:proofErr w:type="spellStart"/>
      <w:r w:rsidR="00C40F6B" w:rsidRPr="00A2768F">
        <w:rPr>
          <w:rFonts w:cs="Arial"/>
        </w:rPr>
        <w:t>Indo</w:t>
      </w:r>
      <w:proofErr w:type="spellEnd"/>
      <w:r w:rsidR="00C40F6B" w:rsidRPr="00A2768F">
        <w:rPr>
          <w:rFonts w:cs="Arial"/>
        </w:rPr>
        <w:t xml:space="preserve">-Pacifiku staleté obchodní vazby, na kterých </w:t>
      </w:r>
      <w:r w:rsidR="00C40F6B" w:rsidRPr="00A2768F">
        <w:rPr>
          <w:rFonts w:cs="Arial"/>
        </w:rPr>
        <w:lastRenderedPageBreak/>
        <w:t xml:space="preserve">můžeme stavět. </w:t>
      </w:r>
      <w:r w:rsidRPr="00A2768F">
        <w:rPr>
          <w:rFonts w:cs="Arial"/>
        </w:rPr>
        <w:t>Na druhou polovinu roku se chystají p</w:t>
      </w:r>
      <w:r w:rsidR="00A2768F">
        <w:rPr>
          <w:rFonts w:cs="Arial"/>
        </w:rPr>
        <w:t>rojekty ekonomické diplomacie v </w:t>
      </w:r>
      <w:r w:rsidRPr="00A2768F">
        <w:rPr>
          <w:rFonts w:cs="Arial"/>
        </w:rPr>
        <w:t xml:space="preserve">Thajsku, </w:t>
      </w:r>
      <w:r w:rsidR="00C40F6B" w:rsidRPr="00A2768F">
        <w:rPr>
          <w:rFonts w:cs="Arial"/>
        </w:rPr>
        <w:t xml:space="preserve">Indonésii, </w:t>
      </w:r>
      <w:r w:rsidRPr="00A2768F">
        <w:rPr>
          <w:rFonts w:cs="Arial"/>
        </w:rPr>
        <w:t xml:space="preserve">Jižní Koreji a Kambodži. České firmy mají v regionu již dobré jméno, zejména v oblasti leteckého průmyslu, geologie a těžby nerostných surovin. </w:t>
      </w:r>
      <w:r w:rsidR="00C40F6B" w:rsidRPr="00A2768F">
        <w:rPr>
          <w:rFonts w:cs="Arial"/>
        </w:rPr>
        <w:t xml:space="preserve">S některými státy (např. Vietnam, Indonésie) existují i smíšené komise, čeští zástupci jsou úspěšní na mezinárodních veletrzích v regionu. V rámci českého předsednictví Rady EU bude MPO podporovat důraz na surovinovou bezpečnost a obnovitelné zdroje, což jsou oblasti, které dobře zapadají i do evropské </w:t>
      </w:r>
      <w:proofErr w:type="spellStart"/>
      <w:r w:rsidR="00C40F6B" w:rsidRPr="00A2768F">
        <w:rPr>
          <w:rFonts w:cs="Arial"/>
        </w:rPr>
        <w:t>indopacifické</w:t>
      </w:r>
      <w:proofErr w:type="spellEnd"/>
      <w:r w:rsidR="00C40F6B" w:rsidRPr="00A2768F">
        <w:rPr>
          <w:rFonts w:cs="Arial"/>
        </w:rPr>
        <w:t xml:space="preserve"> strategie. Podobně má ČR silnou pozici </w:t>
      </w:r>
      <w:r w:rsidR="00A2768F">
        <w:rPr>
          <w:rFonts w:cs="Arial"/>
        </w:rPr>
        <w:t>i </w:t>
      </w:r>
      <w:r w:rsidR="00C40F6B" w:rsidRPr="00A2768F">
        <w:rPr>
          <w:rFonts w:cs="Arial"/>
        </w:rPr>
        <w:t xml:space="preserve">v informačních technologiích (ICT), které jsou napojeny na další odvětví, jako je kybernetická bezpečnost. MPO proto dlouhodobě oceňuje důraz na </w:t>
      </w:r>
      <w:proofErr w:type="spellStart"/>
      <w:r w:rsidR="00C40F6B" w:rsidRPr="00A2768F">
        <w:rPr>
          <w:rFonts w:cs="Arial"/>
        </w:rPr>
        <w:t>konektivní</w:t>
      </w:r>
      <w:proofErr w:type="spellEnd"/>
      <w:r w:rsidR="00C40F6B" w:rsidRPr="00A2768F">
        <w:rPr>
          <w:rFonts w:cs="Arial"/>
        </w:rPr>
        <w:t xml:space="preserve"> partnerství (např. s Japonskem, Indií). </w:t>
      </w:r>
    </w:p>
    <w:p w14:paraId="4C0E589D" w14:textId="77F1BFD9" w:rsidR="00F35116" w:rsidRPr="00A2768F" w:rsidRDefault="00F35116" w:rsidP="00F35116">
      <w:pPr>
        <w:spacing w:line="240" w:lineRule="auto"/>
        <w:rPr>
          <w:rFonts w:cs="Arial"/>
        </w:rPr>
      </w:pPr>
      <w:r w:rsidRPr="00A2768F">
        <w:rPr>
          <w:rFonts w:cs="Arial"/>
          <w:b/>
          <w:bCs/>
        </w:rPr>
        <w:t xml:space="preserve">Jiří </w:t>
      </w:r>
      <w:proofErr w:type="spellStart"/>
      <w:r w:rsidRPr="00A2768F">
        <w:rPr>
          <w:rFonts w:cs="Arial"/>
          <w:b/>
          <w:bCs/>
        </w:rPr>
        <w:t>Hansl</w:t>
      </w:r>
      <w:proofErr w:type="spellEnd"/>
      <w:r w:rsidRPr="00A2768F">
        <w:rPr>
          <w:rFonts w:cs="Arial"/>
        </w:rPr>
        <w:t xml:space="preserve"> z Hospodářské komory ČR ve svém vstupu </w:t>
      </w:r>
      <w:r w:rsidR="00210027" w:rsidRPr="00A2768F">
        <w:rPr>
          <w:rFonts w:cs="Arial"/>
        </w:rPr>
        <w:t xml:space="preserve">upozornil, že v důsledku pandemie Covidu19 se ne všechny dodavatelské řetězce obnovily a podnikatele teď navíc zasáhly důsledky války na Ukrajině, vč. rostoucích cen. Je proto nutné budovat strategickou autonomii EU, ale nikoli na úkor vyšších nákladů či případného protekcionismu. </w:t>
      </w:r>
      <w:proofErr w:type="spellStart"/>
      <w:r w:rsidR="00210027" w:rsidRPr="00A2768F">
        <w:rPr>
          <w:rFonts w:cs="Arial"/>
        </w:rPr>
        <w:t>Hansl</w:t>
      </w:r>
      <w:proofErr w:type="spellEnd"/>
      <w:r w:rsidR="00210027" w:rsidRPr="00A2768F">
        <w:rPr>
          <w:rFonts w:cs="Arial"/>
        </w:rPr>
        <w:t xml:space="preserve"> vyzdvihl roli Indie jako alternativy k Číně a podobně i vztahy s</w:t>
      </w:r>
      <w:r w:rsidR="00331E68" w:rsidRPr="00A2768F">
        <w:rPr>
          <w:rFonts w:cs="Arial"/>
        </w:rPr>
        <w:t> </w:t>
      </w:r>
      <w:proofErr w:type="spellStart"/>
      <w:r w:rsidR="00210027" w:rsidRPr="00A2768F">
        <w:rPr>
          <w:rFonts w:cs="Arial"/>
        </w:rPr>
        <w:t>ASEANem</w:t>
      </w:r>
      <w:proofErr w:type="spellEnd"/>
      <w:r w:rsidR="00331E68" w:rsidRPr="00A2768F">
        <w:rPr>
          <w:rFonts w:cs="Arial"/>
        </w:rPr>
        <w:t>,</w:t>
      </w:r>
      <w:r w:rsidR="00210027" w:rsidRPr="00A2768F">
        <w:rPr>
          <w:rFonts w:cs="Arial"/>
        </w:rPr>
        <w:t xml:space="preserve"> resp. jednotlivými státy (např. Thajsko, Vietnam, Malajsie, Singapur), kde máme kvalitní diplomatické zastoupení i </w:t>
      </w:r>
      <w:r w:rsidR="00BC1FBD" w:rsidRPr="00A2768F">
        <w:rPr>
          <w:rFonts w:cs="Arial"/>
        </w:rPr>
        <w:t xml:space="preserve">dobré </w:t>
      </w:r>
      <w:r w:rsidR="00210027" w:rsidRPr="00A2768F">
        <w:rPr>
          <w:rFonts w:cs="Arial"/>
        </w:rPr>
        <w:t xml:space="preserve">ekonomické vztahy. Hospodářská komora tedy spíše podporuje </w:t>
      </w:r>
      <w:r w:rsidR="004B370A" w:rsidRPr="00A2768F">
        <w:rPr>
          <w:rFonts w:cs="Arial"/>
        </w:rPr>
        <w:t>orientovat</w:t>
      </w:r>
      <w:r w:rsidR="00210027" w:rsidRPr="00A2768F">
        <w:rPr>
          <w:rFonts w:cs="Arial"/>
        </w:rPr>
        <w:t xml:space="preserve"> se na méně zemí v rámci českého předsednictví Rady EU. </w:t>
      </w:r>
      <w:proofErr w:type="spellStart"/>
      <w:r w:rsidR="00210027" w:rsidRPr="00A2768F">
        <w:rPr>
          <w:rFonts w:cs="Arial"/>
        </w:rPr>
        <w:t>Hansl</w:t>
      </w:r>
      <w:proofErr w:type="spellEnd"/>
      <w:r w:rsidR="00210027" w:rsidRPr="00A2768F">
        <w:rPr>
          <w:rFonts w:cs="Arial"/>
        </w:rPr>
        <w:t xml:space="preserve"> </w:t>
      </w:r>
      <w:r w:rsidRPr="00A2768F">
        <w:rPr>
          <w:rFonts w:cs="Arial"/>
        </w:rPr>
        <w:t xml:space="preserve">zdůraznil nutnost </w:t>
      </w:r>
      <w:r w:rsidR="00A2768F">
        <w:rPr>
          <w:rFonts w:cs="Arial"/>
        </w:rPr>
        <w:t>větší koordinace na úrovni EU a </w:t>
      </w:r>
      <w:r w:rsidRPr="00A2768F">
        <w:rPr>
          <w:rFonts w:cs="Arial"/>
        </w:rPr>
        <w:t xml:space="preserve">zaměření na konektivitu, hlavně v otázkách energetiky (ropa, zemní plyn), důraz na kybernetickou bezpečnost a na zelenou a digitální </w:t>
      </w:r>
      <w:proofErr w:type="spellStart"/>
      <w:r w:rsidRPr="00A2768F">
        <w:rPr>
          <w:rFonts w:cs="Arial"/>
        </w:rPr>
        <w:t>tranzici</w:t>
      </w:r>
      <w:proofErr w:type="spellEnd"/>
      <w:r w:rsidRPr="00A2768F">
        <w:rPr>
          <w:rFonts w:cs="Arial"/>
        </w:rPr>
        <w:t xml:space="preserve">. Podle </w:t>
      </w:r>
      <w:proofErr w:type="spellStart"/>
      <w:r w:rsidRPr="00A2768F">
        <w:rPr>
          <w:rFonts w:cs="Arial"/>
        </w:rPr>
        <w:t>Hansla</w:t>
      </w:r>
      <w:proofErr w:type="spellEnd"/>
      <w:r w:rsidRPr="00A2768F">
        <w:rPr>
          <w:rFonts w:cs="Arial"/>
        </w:rPr>
        <w:t xml:space="preserve"> potřebují české firmy tři věci: informace, relevantní kontakty s partnery a </w:t>
      </w:r>
      <w:r w:rsidR="00210027" w:rsidRPr="00A2768F">
        <w:rPr>
          <w:rFonts w:cs="Arial"/>
        </w:rPr>
        <w:t>financování</w:t>
      </w:r>
      <w:r w:rsidRPr="00A2768F">
        <w:rPr>
          <w:rFonts w:cs="Arial"/>
        </w:rPr>
        <w:t xml:space="preserve">. </w:t>
      </w:r>
    </w:p>
    <w:p w14:paraId="771B166D" w14:textId="2D719D2A" w:rsidR="00F35116" w:rsidRDefault="00F35116" w:rsidP="00F35116">
      <w:pPr>
        <w:spacing w:line="240" w:lineRule="auto"/>
        <w:rPr>
          <w:rFonts w:cs="Arial"/>
        </w:rPr>
      </w:pPr>
      <w:r w:rsidRPr="00A2768F">
        <w:rPr>
          <w:rFonts w:cs="Arial"/>
        </w:rPr>
        <w:t xml:space="preserve">Během následující diskuze bylo zmíněno mnoho podnětů, jakým směrem by se měla ČR vydat, aby své předsednictví v kontextu </w:t>
      </w:r>
      <w:proofErr w:type="spellStart"/>
      <w:r w:rsidRPr="00A2768F">
        <w:rPr>
          <w:rFonts w:cs="Arial"/>
        </w:rPr>
        <w:t>indopacifického</w:t>
      </w:r>
      <w:proofErr w:type="spellEnd"/>
      <w:r w:rsidRPr="00A2768F">
        <w:rPr>
          <w:rFonts w:cs="Arial"/>
        </w:rPr>
        <w:t xml:space="preserve"> regionu využila co nejefektivněji. Podle velvyslance v Bangkoku, </w:t>
      </w:r>
      <w:r w:rsidRPr="00A2768F">
        <w:rPr>
          <w:rFonts w:cs="Arial"/>
          <w:b/>
          <w:bCs/>
        </w:rPr>
        <w:t>Marka Libřického</w:t>
      </w:r>
      <w:r w:rsidRPr="00A2768F">
        <w:rPr>
          <w:rFonts w:cs="Arial"/>
        </w:rPr>
        <w:t xml:space="preserve">, je centralita </w:t>
      </w:r>
      <w:proofErr w:type="spellStart"/>
      <w:r w:rsidRPr="00A2768F">
        <w:rPr>
          <w:rFonts w:cs="Arial"/>
        </w:rPr>
        <w:t>ASEANu</w:t>
      </w:r>
      <w:proofErr w:type="spellEnd"/>
      <w:r w:rsidRPr="00A2768F">
        <w:rPr>
          <w:rFonts w:cs="Arial"/>
        </w:rPr>
        <w:t xml:space="preserve"> důležitým prvkem budování nových partnerství s</w:t>
      </w:r>
      <w:r w:rsidR="00B475EE" w:rsidRPr="00A2768F">
        <w:rPr>
          <w:rFonts w:cs="Arial"/>
        </w:rPr>
        <w:t> </w:t>
      </w:r>
      <w:proofErr w:type="spellStart"/>
      <w:r w:rsidR="00B475EE" w:rsidRPr="00A2768F">
        <w:rPr>
          <w:rFonts w:cs="Arial"/>
        </w:rPr>
        <w:t>indopacifickým</w:t>
      </w:r>
      <w:proofErr w:type="spellEnd"/>
      <w:r w:rsidR="00B475EE" w:rsidRPr="00A2768F">
        <w:rPr>
          <w:rFonts w:cs="Arial"/>
        </w:rPr>
        <w:t xml:space="preserve"> </w:t>
      </w:r>
      <w:r w:rsidRPr="00A2768F">
        <w:rPr>
          <w:rFonts w:cs="Arial"/>
        </w:rPr>
        <w:t>regionem. Podstatným aspektem musí být snaha regionálním partnerům naslouchat, co oni od nás potřebují a poté hledat společná řešení</w:t>
      </w:r>
      <w:r w:rsidR="00B475EE" w:rsidRPr="00A2768F">
        <w:rPr>
          <w:rFonts w:cs="Arial"/>
        </w:rPr>
        <w:t xml:space="preserve"> tak, abychom vysvětlili, proč EU je ta správná alternativa</w:t>
      </w:r>
      <w:r w:rsidRPr="00A2768F">
        <w:rPr>
          <w:rFonts w:cs="Arial"/>
        </w:rPr>
        <w:t>.</w:t>
      </w:r>
      <w:r w:rsidR="00B475EE" w:rsidRPr="00A2768F">
        <w:rPr>
          <w:rFonts w:cs="Arial"/>
        </w:rPr>
        <w:t xml:space="preserve"> Je možné též spolupracovat i s menšími státy, které jsou často na okraji zájmu, ale mají výrazný potenciál</w:t>
      </w:r>
      <w:r w:rsidR="00E533A8" w:rsidRPr="00A2768F">
        <w:rPr>
          <w:rFonts w:cs="Arial"/>
        </w:rPr>
        <w:t>, ale</w:t>
      </w:r>
      <w:r w:rsidR="00B475EE" w:rsidRPr="00A2768F">
        <w:rPr>
          <w:rFonts w:cs="Arial"/>
        </w:rPr>
        <w:t xml:space="preserve"> nakonec převáží jazýček vah naším směrem.</w:t>
      </w:r>
      <w:r w:rsidRPr="00A2768F">
        <w:rPr>
          <w:rFonts w:cs="Arial"/>
        </w:rPr>
        <w:t xml:space="preserve"> Bývalý premiér </w:t>
      </w:r>
      <w:r w:rsidRPr="00A2768F">
        <w:rPr>
          <w:rFonts w:cs="Arial"/>
          <w:b/>
          <w:bCs/>
        </w:rPr>
        <w:t>Vladimír Špidla</w:t>
      </w:r>
      <w:r w:rsidRPr="00A2768F">
        <w:rPr>
          <w:rFonts w:cs="Arial"/>
        </w:rPr>
        <w:t xml:space="preserve"> poukázal na důležitost potravinové bezpečnosti a soběstačnosti a na zelenou </w:t>
      </w:r>
      <w:proofErr w:type="spellStart"/>
      <w:r w:rsidRPr="00A2768F">
        <w:rPr>
          <w:rFonts w:cs="Arial"/>
        </w:rPr>
        <w:t>tranzici</w:t>
      </w:r>
      <w:proofErr w:type="spellEnd"/>
      <w:r w:rsidRPr="00A2768F">
        <w:rPr>
          <w:rFonts w:cs="Arial"/>
        </w:rPr>
        <w:t xml:space="preserve">. Podle Špidly je v zájmu ČR, ale i celého světa, aby se ekonomika </w:t>
      </w:r>
      <w:r w:rsidR="00331E68" w:rsidRPr="00A2768F">
        <w:rPr>
          <w:rFonts w:cs="Arial"/>
        </w:rPr>
        <w:t>„</w:t>
      </w:r>
      <w:proofErr w:type="spellStart"/>
      <w:r w:rsidRPr="00A2768F">
        <w:rPr>
          <w:rFonts w:cs="Arial"/>
        </w:rPr>
        <w:t>nezregionalizovala</w:t>
      </w:r>
      <w:proofErr w:type="spellEnd"/>
      <w:r w:rsidR="00331E68" w:rsidRPr="00A2768F">
        <w:rPr>
          <w:rFonts w:cs="Arial"/>
        </w:rPr>
        <w:t>“</w:t>
      </w:r>
      <w:r w:rsidRPr="00A2768F">
        <w:rPr>
          <w:rFonts w:cs="Arial"/>
        </w:rPr>
        <w:t xml:space="preserve">. </w:t>
      </w:r>
      <w:r w:rsidR="00A2768F">
        <w:rPr>
          <w:rFonts w:cs="Arial"/>
        </w:rPr>
        <w:t>EU je nástrojem pro ČR, ale i </w:t>
      </w:r>
      <w:r w:rsidR="00B475EE" w:rsidRPr="00A2768F">
        <w:rPr>
          <w:rFonts w:cs="Arial"/>
        </w:rPr>
        <w:t>Francii, jehož prostřednictvím můžeme mít v </w:t>
      </w:r>
      <w:proofErr w:type="spellStart"/>
      <w:r w:rsidR="00B475EE" w:rsidRPr="00A2768F">
        <w:rPr>
          <w:rFonts w:cs="Arial"/>
        </w:rPr>
        <w:t>Indo</w:t>
      </w:r>
      <w:proofErr w:type="spellEnd"/>
      <w:r w:rsidR="00B475EE" w:rsidRPr="00A2768F">
        <w:rPr>
          <w:rFonts w:cs="Arial"/>
        </w:rPr>
        <w:t xml:space="preserve">-Pacifiku strategický vliv. </w:t>
      </w:r>
      <w:r w:rsidRPr="00A2768F">
        <w:rPr>
          <w:rFonts w:cs="Arial"/>
          <w:b/>
          <w:bCs/>
        </w:rPr>
        <w:t>Lukáš Martin</w:t>
      </w:r>
      <w:r w:rsidRPr="00A2768F">
        <w:rPr>
          <w:rFonts w:cs="Arial"/>
        </w:rPr>
        <w:t xml:space="preserve"> ze Svazu průmyslu a dopravy ČR podpořil myšlenku diverzifikace českého exportu. Z jeho pohledu je oblast </w:t>
      </w:r>
      <w:proofErr w:type="spellStart"/>
      <w:r w:rsidRPr="00A2768F">
        <w:rPr>
          <w:rFonts w:cs="Arial"/>
        </w:rPr>
        <w:t>ASEANu</w:t>
      </w:r>
      <w:proofErr w:type="spellEnd"/>
      <w:r w:rsidRPr="00A2768F">
        <w:rPr>
          <w:rFonts w:cs="Arial"/>
        </w:rPr>
        <w:t xml:space="preserve"> extrémně důležitá</w:t>
      </w:r>
      <w:r w:rsidR="00B475EE" w:rsidRPr="00A2768F">
        <w:rPr>
          <w:rFonts w:cs="Arial"/>
        </w:rPr>
        <w:t xml:space="preserve">, zejména jako protiváha k čínskému trhu </w:t>
      </w:r>
      <w:r w:rsidRPr="00A2768F">
        <w:rPr>
          <w:rFonts w:cs="Arial"/>
        </w:rPr>
        <w:t xml:space="preserve">a české firmy mají co nabídnout v oblasti </w:t>
      </w:r>
      <w:proofErr w:type="spellStart"/>
      <w:r w:rsidRPr="00A2768F">
        <w:rPr>
          <w:rFonts w:cs="Arial"/>
        </w:rPr>
        <w:t>enviromentálních</w:t>
      </w:r>
      <w:proofErr w:type="spellEnd"/>
      <w:r w:rsidRPr="00A2768F">
        <w:rPr>
          <w:rFonts w:cs="Arial"/>
        </w:rPr>
        <w:t xml:space="preserve"> technologií či alternativní energetiky (výstavba čističek apod.) </w:t>
      </w:r>
      <w:r w:rsidR="00B475EE" w:rsidRPr="00A2768F">
        <w:rPr>
          <w:rFonts w:cs="Arial"/>
        </w:rPr>
        <w:t xml:space="preserve">Velvyslanec v Canberře </w:t>
      </w:r>
      <w:r w:rsidR="00B475EE" w:rsidRPr="00A2768F">
        <w:rPr>
          <w:rFonts w:cs="Arial"/>
          <w:b/>
          <w:bCs/>
        </w:rPr>
        <w:t>Tomáš Dub</w:t>
      </w:r>
      <w:r w:rsidR="00B475EE" w:rsidRPr="00A2768F">
        <w:rPr>
          <w:rFonts w:cs="Arial"/>
        </w:rPr>
        <w:t xml:space="preserve"> zdůraznil, že by se ČR v rámci svého předsednictví měla zasadit o zlepšení vztahů mezi Austrálií a EU </w:t>
      </w:r>
      <w:r w:rsidR="00CD4AFF" w:rsidRPr="00A2768F">
        <w:rPr>
          <w:rFonts w:cs="Arial"/>
        </w:rPr>
        <w:t>v</w:t>
      </w:r>
      <w:r w:rsidR="00B475EE" w:rsidRPr="00A2768F">
        <w:rPr>
          <w:rFonts w:cs="Arial"/>
        </w:rPr>
        <w:t xml:space="preserve"> důsledku francouzsko-australské roztržky kvůli dohodě AUKUS, vč. jednání o smlouvě o volném obchodu. </w:t>
      </w:r>
      <w:r w:rsidRPr="00A2768F">
        <w:rPr>
          <w:rFonts w:cs="Arial"/>
        </w:rPr>
        <w:t xml:space="preserve">V závěru </w:t>
      </w:r>
      <w:r w:rsidRPr="00A2768F">
        <w:rPr>
          <w:rFonts w:cs="Arial"/>
          <w:b/>
          <w:bCs/>
        </w:rPr>
        <w:t>velvyslanec Sečka</w:t>
      </w:r>
      <w:r w:rsidRPr="00A2768F">
        <w:rPr>
          <w:rFonts w:cs="Arial"/>
        </w:rPr>
        <w:t xml:space="preserve"> zdůraznil </w:t>
      </w:r>
      <w:r w:rsidR="00A2768F">
        <w:rPr>
          <w:rFonts w:cs="Arial"/>
        </w:rPr>
        <w:t>cíl Česka být aktivním hráčem v </w:t>
      </w:r>
      <w:proofErr w:type="spellStart"/>
      <w:r w:rsidRPr="00A2768F">
        <w:rPr>
          <w:rFonts w:cs="Arial"/>
        </w:rPr>
        <w:t>indopacifickém</w:t>
      </w:r>
      <w:proofErr w:type="spellEnd"/>
      <w:r w:rsidRPr="00A2768F">
        <w:rPr>
          <w:rFonts w:cs="Arial"/>
        </w:rPr>
        <w:t xml:space="preserve"> regionu a snahu pochopit, co region potřebuje a schopnost na to patřičně zareagovat. Důležitou je i úzká spolupráce k </w:t>
      </w:r>
      <w:proofErr w:type="spellStart"/>
      <w:r w:rsidRPr="00A2768F">
        <w:rPr>
          <w:rFonts w:cs="Arial"/>
        </w:rPr>
        <w:t>Indo</w:t>
      </w:r>
      <w:proofErr w:type="spellEnd"/>
      <w:r w:rsidRPr="00A2768F">
        <w:rPr>
          <w:rFonts w:cs="Arial"/>
        </w:rPr>
        <w:t xml:space="preserve">-Pacifiku v rámci prezidentského tria, zejména s Francií. </w:t>
      </w:r>
    </w:p>
    <w:p w14:paraId="7AA71EE2" w14:textId="2191AAC6" w:rsidR="002B1143" w:rsidRDefault="002B1143" w:rsidP="00F35116">
      <w:pPr>
        <w:spacing w:line="240" w:lineRule="auto"/>
        <w:rPr>
          <w:rFonts w:cs="Arial"/>
        </w:rPr>
      </w:pPr>
    </w:p>
    <w:p w14:paraId="6C513F60" w14:textId="6EDEA681" w:rsidR="002B1143" w:rsidRDefault="002B1143" w:rsidP="00F35116">
      <w:pPr>
        <w:spacing w:line="240" w:lineRule="auto"/>
        <w:rPr>
          <w:rFonts w:cs="Arial"/>
        </w:rPr>
      </w:pPr>
    </w:p>
    <w:p w14:paraId="6EA6A47D" w14:textId="499A3C4E" w:rsidR="002B1143" w:rsidRDefault="002B1143" w:rsidP="00F35116">
      <w:pPr>
        <w:spacing w:line="240" w:lineRule="auto"/>
        <w:rPr>
          <w:rFonts w:cs="Arial"/>
        </w:rPr>
      </w:pPr>
    </w:p>
    <w:p w14:paraId="3D085E91" w14:textId="77777777" w:rsidR="002B1143" w:rsidRPr="00A2768F" w:rsidRDefault="002B1143" w:rsidP="00F35116">
      <w:pPr>
        <w:spacing w:line="240" w:lineRule="auto"/>
        <w:rPr>
          <w:rFonts w:cs="Arial"/>
        </w:rPr>
      </w:pPr>
    </w:p>
    <w:p w14:paraId="3655E5CA" w14:textId="77777777" w:rsidR="00F35116" w:rsidRPr="00F35116" w:rsidRDefault="00F35116" w:rsidP="00F35116">
      <w:pPr>
        <w:pStyle w:val="Nadpis2"/>
        <w:jc w:val="both"/>
        <w:rPr>
          <w:rFonts w:asciiTheme="minorHAnsi" w:hAnsiTheme="minorHAnsi" w:cstheme="minorHAnsi"/>
        </w:rPr>
      </w:pPr>
      <w:r w:rsidRPr="00F35116">
        <w:rPr>
          <w:rFonts w:asciiTheme="minorHAnsi" w:hAnsiTheme="minorHAnsi" w:cstheme="minorHAnsi"/>
        </w:rPr>
        <w:lastRenderedPageBreak/>
        <w:t xml:space="preserve">Navrhovaná doporučení </w:t>
      </w:r>
    </w:p>
    <w:p w14:paraId="45A90D48" w14:textId="7BAD9C34" w:rsidR="004E4724" w:rsidRPr="00A2768F" w:rsidRDefault="00345F70" w:rsidP="004E4724">
      <w:pPr>
        <w:spacing w:line="240" w:lineRule="auto"/>
        <w:rPr>
          <w:rFonts w:cs="Arial"/>
          <w:szCs w:val="22"/>
        </w:rPr>
      </w:pPr>
      <w:r w:rsidRPr="00A2768F">
        <w:rPr>
          <w:rFonts w:cs="Arial"/>
          <w:szCs w:val="22"/>
        </w:rPr>
        <w:t xml:space="preserve">Předkladatelé jednotlivých stanovisek i další diskutující </w:t>
      </w:r>
      <w:r w:rsidR="004E4724" w:rsidRPr="00A2768F">
        <w:rPr>
          <w:rFonts w:cs="Arial"/>
          <w:szCs w:val="22"/>
        </w:rPr>
        <w:t xml:space="preserve">se shodli na politice vůči </w:t>
      </w:r>
      <w:proofErr w:type="spellStart"/>
      <w:r w:rsidR="004E4724" w:rsidRPr="00A2768F">
        <w:rPr>
          <w:rFonts w:cs="Arial"/>
          <w:szCs w:val="22"/>
        </w:rPr>
        <w:t>Indo</w:t>
      </w:r>
      <w:proofErr w:type="spellEnd"/>
      <w:r w:rsidR="004E4724" w:rsidRPr="00A2768F">
        <w:rPr>
          <w:rFonts w:cs="Arial"/>
          <w:szCs w:val="22"/>
        </w:rPr>
        <w:t xml:space="preserve">-Pacifiku </w:t>
      </w:r>
      <w:r w:rsidRPr="00A2768F">
        <w:rPr>
          <w:rFonts w:cs="Arial"/>
          <w:szCs w:val="22"/>
        </w:rPr>
        <w:t>jako jedn</w:t>
      </w:r>
      <w:r w:rsidR="009A79A6" w:rsidRPr="00A2768F">
        <w:rPr>
          <w:rFonts w:cs="Arial"/>
          <w:szCs w:val="22"/>
        </w:rPr>
        <w:t>o</w:t>
      </w:r>
      <w:r w:rsidR="004E4724" w:rsidRPr="00A2768F">
        <w:rPr>
          <w:rFonts w:cs="Arial"/>
          <w:szCs w:val="22"/>
        </w:rPr>
        <w:t>m</w:t>
      </w:r>
      <w:r w:rsidRPr="00A2768F">
        <w:rPr>
          <w:rFonts w:cs="Arial"/>
          <w:szCs w:val="22"/>
        </w:rPr>
        <w:t xml:space="preserve"> z nejdůležitějších témat tohoto roku</w:t>
      </w:r>
      <w:r w:rsidR="004E4724" w:rsidRPr="00A2768F">
        <w:rPr>
          <w:rFonts w:cs="Arial"/>
          <w:szCs w:val="22"/>
        </w:rPr>
        <w:t xml:space="preserve"> na evropské úrovni, ale i v rámci českého předsednictví </w:t>
      </w:r>
      <w:r w:rsidR="009A79A6" w:rsidRPr="00A2768F">
        <w:rPr>
          <w:rFonts w:cs="Arial"/>
          <w:szCs w:val="22"/>
        </w:rPr>
        <w:t xml:space="preserve">v Radě </w:t>
      </w:r>
      <w:r w:rsidR="004E4724" w:rsidRPr="00A2768F">
        <w:rPr>
          <w:rFonts w:cs="Arial"/>
          <w:szCs w:val="22"/>
        </w:rPr>
        <w:t xml:space="preserve">EU. Z ekonomického hlediska by měl pro ČR být </w:t>
      </w:r>
      <w:r w:rsidR="002A3182" w:rsidRPr="00A2768F">
        <w:rPr>
          <w:rFonts w:cs="Arial"/>
          <w:szCs w:val="22"/>
        </w:rPr>
        <w:t xml:space="preserve">cílem </w:t>
      </w:r>
      <w:r w:rsidR="004E4724" w:rsidRPr="00A2768F">
        <w:rPr>
          <w:rFonts w:cs="Arial"/>
          <w:szCs w:val="22"/>
        </w:rPr>
        <w:t xml:space="preserve">důraz na pokročení či dokončení jednání o smlouvách o volném obchodu (např. s Novým Zélandem, Austrálií), ale i dohodách o </w:t>
      </w:r>
      <w:r w:rsidR="002A3182" w:rsidRPr="00A2768F">
        <w:rPr>
          <w:rFonts w:cs="Arial"/>
          <w:szCs w:val="22"/>
        </w:rPr>
        <w:t xml:space="preserve">strategickém </w:t>
      </w:r>
      <w:r w:rsidR="004E4724" w:rsidRPr="00A2768F">
        <w:rPr>
          <w:rFonts w:cs="Arial"/>
          <w:szCs w:val="22"/>
        </w:rPr>
        <w:t xml:space="preserve">partnerství a spolupráci na nižší úrovni jako např. v rámci smíšených </w:t>
      </w:r>
      <w:r w:rsidR="000A302B" w:rsidRPr="00A2768F">
        <w:rPr>
          <w:rFonts w:cs="Arial"/>
          <w:szCs w:val="22"/>
        </w:rPr>
        <w:t xml:space="preserve">bilaterálních </w:t>
      </w:r>
      <w:r w:rsidR="004E4724" w:rsidRPr="00A2768F">
        <w:rPr>
          <w:rFonts w:cs="Arial"/>
          <w:szCs w:val="22"/>
        </w:rPr>
        <w:t>komisí. Všichni účastníci se též shodli na důrazu na spolupráci s </w:t>
      </w:r>
      <w:proofErr w:type="spellStart"/>
      <w:r w:rsidR="004E4724" w:rsidRPr="00A2768F">
        <w:rPr>
          <w:rFonts w:cs="Arial"/>
          <w:szCs w:val="22"/>
        </w:rPr>
        <w:t>ASEANem</w:t>
      </w:r>
      <w:proofErr w:type="spellEnd"/>
      <w:r w:rsidR="004E4724" w:rsidRPr="00A2768F">
        <w:rPr>
          <w:rFonts w:cs="Arial"/>
          <w:szCs w:val="22"/>
        </w:rPr>
        <w:t xml:space="preserve"> jako celkem i </w:t>
      </w:r>
      <w:r w:rsidR="002A3182" w:rsidRPr="00A2768F">
        <w:rPr>
          <w:rFonts w:cs="Arial"/>
          <w:szCs w:val="22"/>
        </w:rPr>
        <w:t xml:space="preserve">s </w:t>
      </w:r>
      <w:r w:rsidR="004E4724" w:rsidRPr="00A2768F">
        <w:rPr>
          <w:rFonts w:cs="Arial"/>
          <w:szCs w:val="22"/>
        </w:rPr>
        <w:t>jednotlivými státy</w:t>
      </w:r>
      <w:r w:rsidR="002A3182" w:rsidRPr="00A2768F">
        <w:rPr>
          <w:rFonts w:cs="Arial"/>
          <w:szCs w:val="22"/>
        </w:rPr>
        <w:t xml:space="preserve"> </w:t>
      </w:r>
      <w:proofErr w:type="spellStart"/>
      <w:r w:rsidR="002A3182" w:rsidRPr="00A2768F">
        <w:rPr>
          <w:rFonts w:cs="Arial"/>
          <w:szCs w:val="22"/>
        </w:rPr>
        <w:t>ASEANu</w:t>
      </w:r>
      <w:proofErr w:type="spellEnd"/>
      <w:r w:rsidR="004E4724" w:rsidRPr="00A2768F">
        <w:rPr>
          <w:rFonts w:cs="Arial"/>
          <w:szCs w:val="22"/>
        </w:rPr>
        <w:t xml:space="preserve">, které mohou vytvářet jak politickou, tak ekonomickou protiváhu vůči roli Číny. Podobně je vnímána </w:t>
      </w:r>
      <w:r w:rsidR="002A3182" w:rsidRPr="00A2768F">
        <w:rPr>
          <w:rFonts w:cs="Arial"/>
          <w:szCs w:val="22"/>
        </w:rPr>
        <w:t xml:space="preserve">i </w:t>
      </w:r>
      <w:r w:rsidR="004E4724" w:rsidRPr="00A2768F">
        <w:rPr>
          <w:rFonts w:cs="Arial"/>
          <w:szCs w:val="22"/>
        </w:rPr>
        <w:t>spolupráce</w:t>
      </w:r>
      <w:r w:rsidR="002A3182" w:rsidRPr="00A2768F">
        <w:rPr>
          <w:rFonts w:cs="Arial"/>
          <w:szCs w:val="22"/>
        </w:rPr>
        <w:t xml:space="preserve"> </w:t>
      </w:r>
      <w:r w:rsidR="004E4724" w:rsidRPr="00A2768F">
        <w:rPr>
          <w:rFonts w:cs="Arial"/>
          <w:szCs w:val="22"/>
        </w:rPr>
        <w:t xml:space="preserve">s dalšími </w:t>
      </w:r>
      <w:r w:rsidR="009A79A6" w:rsidRPr="00A2768F">
        <w:rPr>
          <w:rFonts w:cs="Arial"/>
          <w:szCs w:val="22"/>
        </w:rPr>
        <w:t xml:space="preserve">klíčovými </w:t>
      </w:r>
      <w:r w:rsidR="004E4724" w:rsidRPr="00A2768F">
        <w:rPr>
          <w:rFonts w:cs="Arial"/>
          <w:szCs w:val="22"/>
        </w:rPr>
        <w:t>partnery v regionu (např. Indie</w:t>
      </w:r>
      <w:r w:rsidR="00D73F34" w:rsidRPr="00A2768F">
        <w:rPr>
          <w:rFonts w:cs="Arial"/>
          <w:szCs w:val="22"/>
        </w:rPr>
        <w:t>, Japonsko</w:t>
      </w:r>
      <w:r w:rsidR="004E4724" w:rsidRPr="00A2768F">
        <w:rPr>
          <w:rFonts w:cs="Arial"/>
          <w:szCs w:val="22"/>
        </w:rPr>
        <w:t xml:space="preserve">, Jižní Korea). Jedním z hlavních pilířů českého předsednictví </w:t>
      </w:r>
      <w:r w:rsidR="002A5BCB" w:rsidRPr="00A2768F">
        <w:rPr>
          <w:rFonts w:cs="Arial"/>
          <w:szCs w:val="22"/>
        </w:rPr>
        <w:t>k </w:t>
      </w:r>
      <w:proofErr w:type="spellStart"/>
      <w:r w:rsidR="002A5BCB" w:rsidRPr="00A2768F">
        <w:rPr>
          <w:rFonts w:cs="Arial"/>
          <w:szCs w:val="22"/>
        </w:rPr>
        <w:t>Indo</w:t>
      </w:r>
      <w:proofErr w:type="spellEnd"/>
      <w:r w:rsidR="002A5BCB" w:rsidRPr="00A2768F">
        <w:rPr>
          <w:rFonts w:cs="Arial"/>
          <w:szCs w:val="22"/>
        </w:rPr>
        <w:t>-Pacifiku</w:t>
      </w:r>
      <w:r w:rsidR="004E4724" w:rsidRPr="00A2768F">
        <w:rPr>
          <w:rFonts w:cs="Arial"/>
          <w:szCs w:val="22"/>
        </w:rPr>
        <w:t xml:space="preserve"> bude </w:t>
      </w:r>
      <w:r w:rsidR="000A302B" w:rsidRPr="00A2768F">
        <w:rPr>
          <w:rFonts w:cs="Arial"/>
          <w:i/>
          <w:szCs w:val="22"/>
        </w:rPr>
        <w:t xml:space="preserve">Prague </w:t>
      </w:r>
      <w:proofErr w:type="spellStart"/>
      <w:r w:rsidR="000A302B" w:rsidRPr="00A2768F">
        <w:rPr>
          <w:rFonts w:cs="Arial"/>
          <w:i/>
          <w:szCs w:val="22"/>
        </w:rPr>
        <w:t>H</w:t>
      </w:r>
      <w:r w:rsidR="004E4724" w:rsidRPr="00A2768F">
        <w:rPr>
          <w:rFonts w:cs="Arial"/>
          <w:i/>
          <w:szCs w:val="22"/>
        </w:rPr>
        <w:t>igh</w:t>
      </w:r>
      <w:r w:rsidR="002A3182" w:rsidRPr="00A2768F">
        <w:rPr>
          <w:rFonts w:cs="Arial"/>
          <w:i/>
          <w:szCs w:val="22"/>
        </w:rPr>
        <w:t>-</w:t>
      </w:r>
      <w:r w:rsidR="004E4724" w:rsidRPr="00A2768F">
        <w:rPr>
          <w:rFonts w:cs="Arial"/>
          <w:i/>
          <w:szCs w:val="22"/>
        </w:rPr>
        <w:t>Level</w:t>
      </w:r>
      <w:proofErr w:type="spellEnd"/>
      <w:r w:rsidR="004E4724" w:rsidRPr="00A2768F">
        <w:rPr>
          <w:rFonts w:cs="Arial"/>
          <w:i/>
          <w:szCs w:val="22"/>
        </w:rPr>
        <w:t xml:space="preserve"> </w:t>
      </w:r>
      <w:proofErr w:type="spellStart"/>
      <w:r w:rsidR="004E4724" w:rsidRPr="00A2768F">
        <w:rPr>
          <w:rFonts w:cs="Arial"/>
          <w:i/>
          <w:szCs w:val="22"/>
        </w:rPr>
        <w:t>Dialog</w:t>
      </w:r>
      <w:r w:rsidR="002A3182" w:rsidRPr="00A2768F">
        <w:rPr>
          <w:rFonts w:cs="Arial"/>
          <w:i/>
          <w:szCs w:val="22"/>
        </w:rPr>
        <w:t>ue</w:t>
      </w:r>
      <w:proofErr w:type="spellEnd"/>
      <w:r w:rsidR="00FB1155" w:rsidRPr="00A2768F">
        <w:rPr>
          <w:rFonts w:cs="Arial"/>
          <w:szCs w:val="22"/>
        </w:rPr>
        <w:t>, který by</w:t>
      </w:r>
      <w:r w:rsidR="004E4724" w:rsidRPr="00A2768F">
        <w:rPr>
          <w:rFonts w:cs="Arial"/>
          <w:szCs w:val="22"/>
        </w:rPr>
        <w:t xml:space="preserve"> mohl vést k prohloubení spolupráce v rámci EU s předsednickou Francií, </w:t>
      </w:r>
      <w:r w:rsidR="000A302B" w:rsidRPr="00A2768F">
        <w:rPr>
          <w:rFonts w:cs="Arial"/>
          <w:szCs w:val="22"/>
        </w:rPr>
        <w:t>popř.</w:t>
      </w:r>
      <w:r w:rsidR="00FB1155" w:rsidRPr="00A2768F">
        <w:rPr>
          <w:rFonts w:cs="Arial"/>
          <w:szCs w:val="22"/>
        </w:rPr>
        <w:t xml:space="preserve"> dalšími </w:t>
      </w:r>
      <w:proofErr w:type="spellStart"/>
      <w:r w:rsidR="00FB1155" w:rsidRPr="00A2768F">
        <w:rPr>
          <w:rFonts w:cs="Arial"/>
          <w:szCs w:val="22"/>
        </w:rPr>
        <w:t>like-minded</w:t>
      </w:r>
      <w:proofErr w:type="spellEnd"/>
      <w:r w:rsidR="00FB1155" w:rsidRPr="00A2768F">
        <w:rPr>
          <w:rFonts w:cs="Arial"/>
          <w:szCs w:val="22"/>
        </w:rPr>
        <w:t xml:space="preserve"> partnery, a přispět k formulaci klíčových vodítek pro další spolupráci s regionem jako takovým. </w:t>
      </w:r>
    </w:p>
    <w:p w14:paraId="61ECA280" w14:textId="49FEAFEE" w:rsidR="00F35116" w:rsidRPr="00A2768F" w:rsidRDefault="00F35116" w:rsidP="00A2768F">
      <w:pPr>
        <w:spacing w:line="276" w:lineRule="auto"/>
        <w:rPr>
          <w:rFonts w:cs="Arial"/>
          <w:szCs w:val="22"/>
        </w:rPr>
      </w:pPr>
      <w:r w:rsidRPr="00A2768F">
        <w:rPr>
          <w:rFonts w:cs="Arial"/>
          <w:szCs w:val="22"/>
        </w:rPr>
        <w:t>Z prezentovaných stanovisek a následné diskuze vyplynuly následující doporučení Národního konventu o EU.</w:t>
      </w:r>
    </w:p>
    <w:p w14:paraId="4E22F153" w14:textId="77777777" w:rsidR="00F35116" w:rsidRPr="00F35116" w:rsidRDefault="00F35116" w:rsidP="00F35116">
      <w:pPr>
        <w:pBdr>
          <w:top w:val="thickThinSmallGap" w:sz="12" w:space="1" w:color="284C96"/>
          <w:left w:val="thickThinSmallGap" w:sz="12" w:space="4" w:color="284C96"/>
          <w:bottom w:val="thinThickSmallGap" w:sz="12" w:space="14" w:color="284C96"/>
          <w:right w:val="thinThickSmallGap" w:sz="12" w:space="4" w:color="284C96"/>
        </w:pBdr>
        <w:rPr>
          <w:rFonts w:asciiTheme="minorHAnsi" w:hAnsiTheme="minorHAnsi" w:cstheme="minorHAnsi"/>
          <w:b/>
          <w:color w:val="284C96"/>
          <w:sz w:val="26"/>
          <w:szCs w:val="26"/>
        </w:rPr>
      </w:pPr>
      <w:r w:rsidRPr="00F35116">
        <w:rPr>
          <w:rFonts w:asciiTheme="minorHAnsi" w:hAnsiTheme="minorHAnsi" w:cstheme="minorHAnsi"/>
          <w:b/>
          <w:color w:val="284C96"/>
          <w:sz w:val="26"/>
          <w:szCs w:val="26"/>
        </w:rPr>
        <w:t>Doporučení Národního konventu o EU:</w:t>
      </w:r>
    </w:p>
    <w:p w14:paraId="2D90DB6A" w14:textId="1F9ACF3A" w:rsidR="00F35116" w:rsidRPr="00A2768F" w:rsidRDefault="00F35116" w:rsidP="00E059E0">
      <w:pPr>
        <w:pBdr>
          <w:top w:val="thickThinSmallGap" w:sz="12" w:space="1" w:color="284C96"/>
          <w:left w:val="thickThinSmallGap" w:sz="12" w:space="4" w:color="284C96"/>
          <w:bottom w:val="thinThickSmallGap" w:sz="12" w:space="14" w:color="284C96"/>
          <w:right w:val="thinThickSmallGap" w:sz="12" w:space="4" w:color="284C96"/>
        </w:pBdr>
        <w:spacing w:line="240" w:lineRule="auto"/>
        <w:rPr>
          <w:rFonts w:cs="Arial"/>
          <w:szCs w:val="22"/>
        </w:rPr>
      </w:pPr>
      <w:r w:rsidRPr="00A2768F">
        <w:rPr>
          <w:rFonts w:cs="Arial"/>
          <w:b/>
          <w:color w:val="284C96"/>
          <w:szCs w:val="22"/>
        </w:rPr>
        <w:t xml:space="preserve">1. </w:t>
      </w:r>
      <w:r w:rsidRPr="00A2768F">
        <w:rPr>
          <w:rFonts w:cs="Arial"/>
          <w:szCs w:val="22"/>
        </w:rPr>
        <w:t xml:space="preserve">Česká republika by měla v rámci svého nadcházejícího předsednictví Rady EU v oblasti </w:t>
      </w:r>
      <w:proofErr w:type="spellStart"/>
      <w:r w:rsidRPr="00A2768F">
        <w:rPr>
          <w:rFonts w:cs="Arial"/>
          <w:szCs w:val="22"/>
        </w:rPr>
        <w:t>Indo</w:t>
      </w:r>
      <w:proofErr w:type="spellEnd"/>
      <w:r w:rsidRPr="00A2768F">
        <w:rPr>
          <w:rFonts w:cs="Arial"/>
          <w:szCs w:val="22"/>
        </w:rPr>
        <w:t xml:space="preserve">-Pacifiku </w:t>
      </w:r>
      <w:r w:rsidRPr="00A2768F">
        <w:rPr>
          <w:rFonts w:cs="Arial"/>
          <w:b/>
          <w:szCs w:val="22"/>
        </w:rPr>
        <w:t>podporovat volný obchod</w:t>
      </w:r>
      <w:r w:rsidRPr="00A2768F">
        <w:rPr>
          <w:rFonts w:cs="Arial"/>
          <w:szCs w:val="22"/>
        </w:rPr>
        <w:t>, a to jak snahu</w:t>
      </w:r>
      <w:r w:rsidR="00A2768F">
        <w:rPr>
          <w:rFonts w:cs="Arial"/>
          <w:szCs w:val="22"/>
        </w:rPr>
        <w:t xml:space="preserve"> pokročit či dokončit jednání o </w:t>
      </w:r>
      <w:r w:rsidRPr="00A2768F">
        <w:rPr>
          <w:rFonts w:cs="Arial"/>
          <w:szCs w:val="22"/>
        </w:rPr>
        <w:t>s</w:t>
      </w:r>
      <w:r w:rsidR="00A2768F">
        <w:rPr>
          <w:rFonts w:cs="Arial"/>
          <w:szCs w:val="22"/>
        </w:rPr>
        <w:t>mlouvách o volném obchodu</w:t>
      </w:r>
      <w:r w:rsidRPr="00A2768F">
        <w:rPr>
          <w:rFonts w:cs="Arial"/>
          <w:szCs w:val="22"/>
        </w:rPr>
        <w:t xml:space="preserve">, tak podporovat ekonomickou diplomacii </w:t>
      </w:r>
      <w:r w:rsidR="009A79A6" w:rsidRPr="00A2768F">
        <w:rPr>
          <w:rFonts w:cs="Arial"/>
          <w:szCs w:val="22"/>
        </w:rPr>
        <w:t xml:space="preserve">a spolupráci </w:t>
      </w:r>
      <w:r w:rsidRPr="00A2768F">
        <w:rPr>
          <w:rFonts w:cs="Arial"/>
          <w:szCs w:val="22"/>
        </w:rPr>
        <w:t xml:space="preserve">na </w:t>
      </w:r>
      <w:r w:rsidR="009A79A6" w:rsidRPr="00A2768F">
        <w:rPr>
          <w:rFonts w:cs="Arial"/>
          <w:szCs w:val="22"/>
        </w:rPr>
        <w:t>„</w:t>
      </w:r>
      <w:r w:rsidRPr="00A2768F">
        <w:rPr>
          <w:rFonts w:cs="Arial"/>
          <w:szCs w:val="22"/>
        </w:rPr>
        <w:t>nižší</w:t>
      </w:r>
      <w:r w:rsidR="009A79A6" w:rsidRPr="00A2768F">
        <w:rPr>
          <w:rFonts w:cs="Arial"/>
          <w:szCs w:val="22"/>
        </w:rPr>
        <w:t>“</w:t>
      </w:r>
      <w:r w:rsidRPr="00A2768F">
        <w:rPr>
          <w:rFonts w:cs="Arial"/>
          <w:szCs w:val="22"/>
        </w:rPr>
        <w:t xml:space="preserve"> </w:t>
      </w:r>
      <w:r w:rsidR="009A79A6" w:rsidRPr="00A2768F">
        <w:rPr>
          <w:rFonts w:cs="Arial"/>
          <w:szCs w:val="22"/>
        </w:rPr>
        <w:t xml:space="preserve">úrovni </w:t>
      </w:r>
      <w:r w:rsidRPr="00A2768F">
        <w:rPr>
          <w:rFonts w:cs="Arial"/>
          <w:szCs w:val="22"/>
        </w:rPr>
        <w:t xml:space="preserve"> (např. </w:t>
      </w:r>
      <w:r w:rsidR="009A79A6" w:rsidRPr="00A2768F">
        <w:rPr>
          <w:rFonts w:cs="Arial"/>
          <w:szCs w:val="22"/>
        </w:rPr>
        <w:t xml:space="preserve">bilaterální </w:t>
      </w:r>
      <w:r w:rsidRPr="00A2768F">
        <w:rPr>
          <w:rFonts w:cs="Arial"/>
          <w:szCs w:val="22"/>
        </w:rPr>
        <w:t>smíšené komise), a tím přispět k</w:t>
      </w:r>
      <w:r w:rsidR="00226C80" w:rsidRPr="00A2768F">
        <w:rPr>
          <w:rFonts w:cs="Arial"/>
          <w:szCs w:val="22"/>
        </w:rPr>
        <w:t xml:space="preserve"> diverzifikaci zdrojů a </w:t>
      </w:r>
      <w:r w:rsidRPr="00A2768F">
        <w:rPr>
          <w:rFonts w:cs="Arial"/>
          <w:szCs w:val="22"/>
        </w:rPr>
        <w:t>větší strategické autonomii EU.</w:t>
      </w:r>
      <w:r w:rsidR="009A79A6" w:rsidRPr="00A2768F">
        <w:rPr>
          <w:rFonts w:cs="Arial"/>
          <w:szCs w:val="22"/>
        </w:rPr>
        <w:t xml:space="preserve"> ČR by se v tomto směru zároveň měla </w:t>
      </w:r>
      <w:r w:rsidR="009A79A6" w:rsidRPr="00A2768F">
        <w:rPr>
          <w:rFonts w:cs="Arial"/>
          <w:b/>
          <w:szCs w:val="22"/>
        </w:rPr>
        <w:t>soustředit na zacílený okruh prioritních zemí.</w:t>
      </w:r>
    </w:p>
    <w:p w14:paraId="293E3851" w14:textId="6F2DA361" w:rsidR="00F35116" w:rsidRPr="00A2768F" w:rsidRDefault="00F35116" w:rsidP="00E059E0">
      <w:pPr>
        <w:pBdr>
          <w:top w:val="thickThinSmallGap" w:sz="12" w:space="1" w:color="284C96"/>
          <w:left w:val="thickThinSmallGap" w:sz="12" w:space="4" w:color="284C96"/>
          <w:bottom w:val="thinThickSmallGap" w:sz="12" w:space="14" w:color="284C96"/>
          <w:right w:val="thinThickSmallGap" w:sz="12" w:space="4" w:color="284C96"/>
        </w:pBdr>
        <w:spacing w:line="240" w:lineRule="auto"/>
        <w:rPr>
          <w:rFonts w:cs="Arial"/>
          <w:szCs w:val="22"/>
        </w:rPr>
      </w:pPr>
      <w:r w:rsidRPr="00A2768F">
        <w:rPr>
          <w:rFonts w:cs="Arial"/>
          <w:b/>
          <w:color w:val="284C96"/>
          <w:szCs w:val="22"/>
        </w:rPr>
        <w:t xml:space="preserve">2. </w:t>
      </w:r>
      <w:r w:rsidRPr="00A2768F">
        <w:rPr>
          <w:rFonts w:cs="Arial"/>
          <w:szCs w:val="22"/>
        </w:rPr>
        <w:t xml:space="preserve">Česká republika by měla v rámci svého nadcházejícího předsednictví Rady EU podporovat centralitu </w:t>
      </w:r>
      <w:proofErr w:type="spellStart"/>
      <w:r w:rsidRPr="00A2768F">
        <w:rPr>
          <w:rFonts w:cs="Arial"/>
          <w:szCs w:val="22"/>
        </w:rPr>
        <w:t>ASEANu</w:t>
      </w:r>
      <w:proofErr w:type="spellEnd"/>
      <w:r w:rsidR="00FB1155" w:rsidRPr="00A2768F">
        <w:rPr>
          <w:rFonts w:cs="Arial"/>
          <w:szCs w:val="22"/>
        </w:rPr>
        <w:t>,</w:t>
      </w:r>
      <w:r w:rsidRPr="00A2768F">
        <w:rPr>
          <w:rFonts w:cs="Arial"/>
          <w:szCs w:val="22"/>
        </w:rPr>
        <w:t xml:space="preserve"> resp. </w:t>
      </w:r>
      <w:r w:rsidR="00AC690B" w:rsidRPr="00A2768F">
        <w:rPr>
          <w:rFonts w:cs="Arial"/>
          <w:b/>
          <w:szCs w:val="22"/>
        </w:rPr>
        <w:t>podporovat strategickou práci s těmi zeměmi</w:t>
      </w:r>
      <w:r w:rsidR="00AC690B" w:rsidRPr="00A2768F">
        <w:rPr>
          <w:rFonts w:cs="Arial"/>
          <w:szCs w:val="22"/>
        </w:rPr>
        <w:t xml:space="preserve">, ve kterých EU, </w:t>
      </w:r>
      <w:r w:rsidR="000A302B" w:rsidRPr="00A2768F">
        <w:rPr>
          <w:rFonts w:cs="Arial"/>
          <w:szCs w:val="22"/>
        </w:rPr>
        <w:t>resp.</w:t>
      </w:r>
      <w:r w:rsidR="00AC690B" w:rsidRPr="00A2768F">
        <w:rPr>
          <w:rFonts w:cs="Arial"/>
          <w:szCs w:val="22"/>
        </w:rPr>
        <w:t xml:space="preserve"> ČR,</w:t>
      </w:r>
      <w:r w:rsidRPr="00A2768F">
        <w:rPr>
          <w:rFonts w:cs="Arial"/>
          <w:szCs w:val="22"/>
        </w:rPr>
        <w:t xml:space="preserve"> </w:t>
      </w:r>
      <w:r w:rsidR="00AC690B" w:rsidRPr="00A2768F">
        <w:rPr>
          <w:rFonts w:cs="Arial"/>
          <w:szCs w:val="22"/>
        </w:rPr>
        <w:t xml:space="preserve">disponuje historickými vazbami a </w:t>
      </w:r>
      <w:r w:rsidRPr="00A2768F">
        <w:rPr>
          <w:rFonts w:cs="Arial"/>
          <w:szCs w:val="22"/>
        </w:rPr>
        <w:t xml:space="preserve">know-how, a </w:t>
      </w:r>
      <w:r w:rsidR="00AC690B" w:rsidRPr="00A2768F">
        <w:rPr>
          <w:rFonts w:cs="Arial"/>
          <w:szCs w:val="22"/>
        </w:rPr>
        <w:t>na základě dialogu jim</w:t>
      </w:r>
      <w:r w:rsidRPr="00A2768F">
        <w:rPr>
          <w:rFonts w:cs="Arial"/>
          <w:szCs w:val="22"/>
        </w:rPr>
        <w:t xml:space="preserve"> nabídnout </w:t>
      </w:r>
      <w:r w:rsidR="00AC690B" w:rsidRPr="00A2768F">
        <w:rPr>
          <w:rFonts w:cs="Arial"/>
          <w:szCs w:val="22"/>
        </w:rPr>
        <w:t xml:space="preserve">smysluplnou </w:t>
      </w:r>
      <w:r w:rsidRPr="00A2768F">
        <w:rPr>
          <w:rFonts w:cs="Arial"/>
          <w:szCs w:val="22"/>
        </w:rPr>
        <w:t>spolupráci (např. prostřednictvím dohod o strategickém partnerství</w:t>
      </w:r>
      <w:r w:rsidR="00FB1155" w:rsidRPr="00A2768F">
        <w:rPr>
          <w:rFonts w:cs="Arial"/>
          <w:szCs w:val="22"/>
        </w:rPr>
        <w:t>,</w:t>
      </w:r>
      <w:r w:rsidR="00AC690B" w:rsidRPr="00A2768F">
        <w:rPr>
          <w:rFonts w:cs="Arial"/>
          <w:szCs w:val="22"/>
        </w:rPr>
        <w:t xml:space="preserve"> poskytujících právní základ pro rozvoj vztahů v řadě sektorů</w:t>
      </w:r>
      <w:r w:rsidRPr="00A2768F">
        <w:rPr>
          <w:rFonts w:cs="Arial"/>
          <w:szCs w:val="22"/>
        </w:rPr>
        <w:t xml:space="preserve">), spíše než </w:t>
      </w:r>
      <w:r w:rsidR="00AC690B" w:rsidRPr="00A2768F">
        <w:rPr>
          <w:rFonts w:cs="Arial"/>
          <w:szCs w:val="22"/>
        </w:rPr>
        <w:t xml:space="preserve">tyto partnery stavět před nutnost geostrategické volby </w:t>
      </w:r>
      <w:r w:rsidRPr="00A2768F">
        <w:rPr>
          <w:rFonts w:cs="Arial"/>
          <w:szCs w:val="22"/>
        </w:rPr>
        <w:t>(např. vymezení</w:t>
      </w:r>
      <w:r w:rsidR="00FB1155" w:rsidRPr="00A2768F">
        <w:rPr>
          <w:rFonts w:cs="Arial"/>
          <w:szCs w:val="22"/>
        </w:rPr>
        <w:t>m</w:t>
      </w:r>
      <w:r w:rsidRPr="00A2768F">
        <w:rPr>
          <w:rFonts w:cs="Arial"/>
          <w:szCs w:val="22"/>
        </w:rPr>
        <w:t xml:space="preserve"> se vůči Číně).</w:t>
      </w:r>
    </w:p>
    <w:p w14:paraId="530347DA" w14:textId="085A4828" w:rsidR="00F35116" w:rsidRPr="00A2768F" w:rsidRDefault="00F35116" w:rsidP="00E059E0">
      <w:pPr>
        <w:pBdr>
          <w:top w:val="thickThinSmallGap" w:sz="12" w:space="1" w:color="284C96"/>
          <w:left w:val="thickThinSmallGap" w:sz="12" w:space="4" w:color="284C96"/>
          <w:bottom w:val="thinThickSmallGap" w:sz="12" w:space="14" w:color="284C96"/>
          <w:right w:val="thinThickSmallGap" w:sz="12" w:space="4" w:color="284C96"/>
        </w:pBdr>
        <w:spacing w:line="240" w:lineRule="auto"/>
        <w:rPr>
          <w:rFonts w:cs="Arial"/>
          <w:szCs w:val="22"/>
        </w:rPr>
      </w:pPr>
      <w:r w:rsidRPr="00A2768F">
        <w:rPr>
          <w:rFonts w:cs="Arial"/>
          <w:b/>
          <w:color w:val="284C96"/>
          <w:szCs w:val="22"/>
        </w:rPr>
        <w:t>3.</w:t>
      </w:r>
      <w:r w:rsidRPr="00A2768F">
        <w:rPr>
          <w:rFonts w:cs="Arial"/>
          <w:szCs w:val="22"/>
        </w:rPr>
        <w:t xml:space="preserve"> V otázce </w:t>
      </w:r>
      <w:r w:rsidRPr="00A2768F">
        <w:rPr>
          <w:rFonts w:cs="Arial"/>
          <w:b/>
          <w:szCs w:val="22"/>
        </w:rPr>
        <w:t>vztahů EU s Čínou</w:t>
      </w:r>
      <w:r w:rsidRPr="00A2768F">
        <w:rPr>
          <w:rFonts w:cs="Arial"/>
          <w:szCs w:val="22"/>
        </w:rPr>
        <w:t xml:space="preserve"> by s</w:t>
      </w:r>
      <w:r w:rsidR="00AC690B" w:rsidRPr="00A2768F">
        <w:rPr>
          <w:rFonts w:cs="Arial"/>
          <w:szCs w:val="22"/>
        </w:rPr>
        <w:t xml:space="preserve">i </w:t>
      </w:r>
      <w:r w:rsidRPr="00A2768F">
        <w:rPr>
          <w:rFonts w:cs="Arial"/>
          <w:szCs w:val="22"/>
        </w:rPr>
        <w:t xml:space="preserve">měla Česká republika </w:t>
      </w:r>
      <w:r w:rsidR="00AC690B" w:rsidRPr="00A2768F">
        <w:rPr>
          <w:rFonts w:cs="Arial"/>
          <w:b/>
          <w:szCs w:val="22"/>
        </w:rPr>
        <w:t>stanovit realistické</w:t>
      </w:r>
      <w:r w:rsidR="00AC690B" w:rsidRPr="00A2768F">
        <w:rPr>
          <w:rFonts w:cs="Arial"/>
          <w:szCs w:val="22"/>
        </w:rPr>
        <w:t xml:space="preserve"> </w:t>
      </w:r>
      <w:r w:rsidR="00AC690B" w:rsidRPr="00A2768F">
        <w:rPr>
          <w:rFonts w:cs="Arial"/>
          <w:b/>
          <w:szCs w:val="22"/>
        </w:rPr>
        <w:t>cíle</w:t>
      </w:r>
      <w:r w:rsidR="00AC690B" w:rsidRPr="00A2768F">
        <w:rPr>
          <w:rFonts w:cs="Arial"/>
          <w:szCs w:val="22"/>
        </w:rPr>
        <w:t>,</w:t>
      </w:r>
      <w:r w:rsidRPr="00A2768F">
        <w:rPr>
          <w:rFonts w:cs="Arial"/>
          <w:szCs w:val="22"/>
        </w:rPr>
        <w:t xml:space="preserve"> </w:t>
      </w:r>
      <w:r w:rsidR="00AC690B" w:rsidRPr="00A2768F">
        <w:rPr>
          <w:rFonts w:cs="Arial"/>
          <w:szCs w:val="22"/>
        </w:rPr>
        <w:t>zároveň by se</w:t>
      </w:r>
      <w:r w:rsidRPr="00A2768F">
        <w:rPr>
          <w:rFonts w:cs="Arial"/>
          <w:szCs w:val="22"/>
        </w:rPr>
        <w:t xml:space="preserve"> měla soustředit na </w:t>
      </w:r>
      <w:r w:rsidR="00226C80" w:rsidRPr="00A2768F">
        <w:rPr>
          <w:rFonts w:cs="Arial"/>
          <w:szCs w:val="22"/>
        </w:rPr>
        <w:t>upevňování</w:t>
      </w:r>
      <w:r w:rsidR="00AC690B" w:rsidRPr="00A2768F">
        <w:rPr>
          <w:rFonts w:cs="Arial"/>
          <w:szCs w:val="22"/>
        </w:rPr>
        <w:t xml:space="preserve"> strategických vztahů s dalšími klíčovými partnery</w:t>
      </w:r>
      <w:r w:rsidRPr="00A2768F">
        <w:rPr>
          <w:rFonts w:cs="Arial"/>
          <w:szCs w:val="22"/>
        </w:rPr>
        <w:t xml:space="preserve"> (např. Indie, ASEAN, Austrálie, Japonsk</w:t>
      </w:r>
      <w:r w:rsidR="00E059E0" w:rsidRPr="00A2768F">
        <w:rPr>
          <w:rFonts w:cs="Arial"/>
          <w:szCs w:val="22"/>
        </w:rPr>
        <w:t>o</w:t>
      </w:r>
      <w:r w:rsidR="00FB1155" w:rsidRPr="00A2768F">
        <w:rPr>
          <w:rFonts w:cs="Arial"/>
          <w:szCs w:val="22"/>
        </w:rPr>
        <w:t>, Korea)</w:t>
      </w:r>
      <w:r w:rsidRPr="00A2768F">
        <w:rPr>
          <w:rFonts w:cs="Arial"/>
          <w:szCs w:val="22"/>
        </w:rPr>
        <w:t xml:space="preserve"> </w:t>
      </w:r>
      <w:r w:rsidR="00226C80" w:rsidRPr="00A2768F">
        <w:rPr>
          <w:rFonts w:cs="Arial"/>
          <w:szCs w:val="22"/>
        </w:rPr>
        <w:t xml:space="preserve"> </w:t>
      </w:r>
      <w:r w:rsidR="00334989" w:rsidRPr="00A2768F">
        <w:rPr>
          <w:rFonts w:cs="Arial"/>
          <w:szCs w:val="22"/>
        </w:rPr>
        <w:t xml:space="preserve">s cílem </w:t>
      </w:r>
      <w:r w:rsidR="00226C80" w:rsidRPr="00A2768F">
        <w:rPr>
          <w:rFonts w:cs="Arial"/>
          <w:szCs w:val="22"/>
        </w:rPr>
        <w:t>posíl</w:t>
      </w:r>
      <w:r w:rsidR="00334989" w:rsidRPr="00A2768F">
        <w:rPr>
          <w:rFonts w:cs="Arial"/>
          <w:szCs w:val="22"/>
        </w:rPr>
        <w:t xml:space="preserve">ení </w:t>
      </w:r>
      <w:r w:rsidR="00AC690B" w:rsidRPr="00A2768F">
        <w:rPr>
          <w:rFonts w:cs="Arial"/>
          <w:szCs w:val="22"/>
        </w:rPr>
        <w:t>geopolitick</w:t>
      </w:r>
      <w:r w:rsidR="00334989" w:rsidRPr="00A2768F">
        <w:rPr>
          <w:rFonts w:cs="Arial"/>
          <w:szCs w:val="22"/>
        </w:rPr>
        <w:t>é</w:t>
      </w:r>
      <w:r w:rsidR="00AC690B" w:rsidRPr="00A2768F">
        <w:rPr>
          <w:rFonts w:cs="Arial"/>
          <w:szCs w:val="22"/>
        </w:rPr>
        <w:t xml:space="preserve"> </w:t>
      </w:r>
      <w:r w:rsidRPr="00A2768F">
        <w:rPr>
          <w:rFonts w:cs="Arial"/>
          <w:szCs w:val="22"/>
        </w:rPr>
        <w:t>rovnováh</w:t>
      </w:r>
      <w:r w:rsidR="00334989" w:rsidRPr="00A2768F">
        <w:rPr>
          <w:rFonts w:cs="Arial"/>
          <w:szCs w:val="22"/>
        </w:rPr>
        <w:t xml:space="preserve">y </w:t>
      </w:r>
      <w:r w:rsidR="00226C80" w:rsidRPr="00A2768F">
        <w:rPr>
          <w:rFonts w:cs="Arial"/>
          <w:szCs w:val="22"/>
        </w:rPr>
        <w:t xml:space="preserve"> regionu</w:t>
      </w:r>
      <w:r w:rsidRPr="00A2768F">
        <w:rPr>
          <w:rFonts w:cs="Arial"/>
          <w:szCs w:val="22"/>
        </w:rPr>
        <w:t xml:space="preserve">. </w:t>
      </w:r>
    </w:p>
    <w:p w14:paraId="59BE6C92" w14:textId="420C956D" w:rsidR="004E4724" w:rsidRPr="002B1143" w:rsidRDefault="00F35116" w:rsidP="002B1143">
      <w:pPr>
        <w:pBdr>
          <w:top w:val="thickThinSmallGap" w:sz="12" w:space="1" w:color="284C96"/>
          <w:left w:val="thickThinSmallGap" w:sz="12" w:space="4" w:color="284C96"/>
          <w:bottom w:val="thinThickSmallGap" w:sz="12" w:space="14" w:color="284C96"/>
          <w:right w:val="thinThickSmallGap" w:sz="12" w:space="4" w:color="284C96"/>
        </w:pBdr>
        <w:spacing w:line="240" w:lineRule="auto"/>
        <w:rPr>
          <w:rFonts w:cs="Arial"/>
          <w:szCs w:val="22"/>
        </w:rPr>
      </w:pPr>
      <w:r w:rsidRPr="00A2768F">
        <w:rPr>
          <w:rFonts w:cs="Arial"/>
          <w:b/>
          <w:color w:val="284C96"/>
          <w:szCs w:val="22"/>
        </w:rPr>
        <w:t>4.</w:t>
      </w:r>
      <w:r w:rsidRPr="00A2768F">
        <w:rPr>
          <w:rFonts w:cs="Arial"/>
          <w:szCs w:val="22"/>
        </w:rPr>
        <w:t xml:space="preserve"> Česká republika by měla využít své</w:t>
      </w:r>
      <w:r w:rsidR="00E059E0" w:rsidRPr="00A2768F">
        <w:rPr>
          <w:rFonts w:cs="Arial"/>
          <w:szCs w:val="22"/>
        </w:rPr>
        <w:t>ho</w:t>
      </w:r>
      <w:r w:rsidRPr="00A2768F">
        <w:rPr>
          <w:rFonts w:cs="Arial"/>
          <w:szCs w:val="22"/>
        </w:rPr>
        <w:t xml:space="preserve"> předsednictví Rady EU též k </w:t>
      </w:r>
      <w:r w:rsidRPr="00A2768F">
        <w:rPr>
          <w:rFonts w:cs="Arial"/>
          <w:b/>
          <w:szCs w:val="22"/>
        </w:rPr>
        <w:t>prohloubení vztahů v rámci předsednického tria</w:t>
      </w:r>
      <w:r w:rsidR="00FB1155" w:rsidRPr="00A2768F">
        <w:rPr>
          <w:rFonts w:cs="Arial"/>
          <w:szCs w:val="22"/>
        </w:rPr>
        <w:t xml:space="preserve"> (</w:t>
      </w:r>
      <w:r w:rsidRPr="00A2768F">
        <w:rPr>
          <w:rFonts w:cs="Arial"/>
          <w:szCs w:val="22"/>
        </w:rPr>
        <w:t>zejména s</w:t>
      </w:r>
      <w:r w:rsidR="00FB1155" w:rsidRPr="00A2768F">
        <w:rPr>
          <w:rFonts w:cs="Arial"/>
          <w:szCs w:val="22"/>
        </w:rPr>
        <w:t> </w:t>
      </w:r>
      <w:r w:rsidRPr="00A2768F">
        <w:rPr>
          <w:rFonts w:cs="Arial"/>
          <w:szCs w:val="22"/>
        </w:rPr>
        <w:t>Francií</w:t>
      </w:r>
      <w:r w:rsidR="00FB1155" w:rsidRPr="00A2768F">
        <w:rPr>
          <w:rFonts w:cs="Arial"/>
          <w:szCs w:val="22"/>
        </w:rPr>
        <w:t>)</w:t>
      </w:r>
      <w:r w:rsidRPr="00A2768F">
        <w:rPr>
          <w:rFonts w:cs="Arial"/>
          <w:szCs w:val="22"/>
        </w:rPr>
        <w:t xml:space="preserve">, </w:t>
      </w:r>
      <w:r w:rsidR="000A302B" w:rsidRPr="00A2768F">
        <w:rPr>
          <w:rFonts w:cs="Arial"/>
          <w:szCs w:val="22"/>
        </w:rPr>
        <w:t>popř.</w:t>
      </w:r>
      <w:r w:rsidR="00FB1155" w:rsidRPr="00A2768F">
        <w:rPr>
          <w:rFonts w:cs="Arial"/>
          <w:szCs w:val="22"/>
        </w:rPr>
        <w:t xml:space="preserve"> dalšími  partnery. V tomto směru by měla naplno využít</w:t>
      </w:r>
      <w:r w:rsidR="000A302B" w:rsidRPr="00A2768F">
        <w:rPr>
          <w:rFonts w:cs="Arial"/>
          <w:szCs w:val="22"/>
        </w:rPr>
        <w:t xml:space="preserve"> </w:t>
      </w:r>
      <w:r w:rsidR="00A2768F">
        <w:rPr>
          <w:rFonts w:cs="Arial"/>
          <w:szCs w:val="22"/>
        </w:rPr>
        <w:t>„</w:t>
      </w:r>
      <w:r w:rsidR="00334989" w:rsidRPr="00A2768F">
        <w:rPr>
          <w:rFonts w:cs="Arial"/>
          <w:szCs w:val="22"/>
        </w:rPr>
        <w:t xml:space="preserve">Prague </w:t>
      </w:r>
      <w:proofErr w:type="spellStart"/>
      <w:r w:rsidRPr="00A2768F">
        <w:rPr>
          <w:rFonts w:cs="Arial"/>
          <w:szCs w:val="22"/>
        </w:rPr>
        <w:t>High</w:t>
      </w:r>
      <w:r w:rsidR="00334989" w:rsidRPr="00A2768F">
        <w:rPr>
          <w:rFonts w:cs="Arial"/>
          <w:szCs w:val="22"/>
        </w:rPr>
        <w:t>-</w:t>
      </w:r>
      <w:r w:rsidRPr="00A2768F">
        <w:rPr>
          <w:rFonts w:cs="Arial"/>
          <w:szCs w:val="22"/>
        </w:rPr>
        <w:t>Level</w:t>
      </w:r>
      <w:proofErr w:type="spellEnd"/>
      <w:r w:rsidRPr="00A2768F">
        <w:rPr>
          <w:rFonts w:cs="Arial"/>
          <w:szCs w:val="22"/>
        </w:rPr>
        <w:t xml:space="preserve"> </w:t>
      </w:r>
      <w:proofErr w:type="spellStart"/>
      <w:r w:rsidRPr="00A2768F">
        <w:rPr>
          <w:rFonts w:cs="Arial"/>
          <w:szCs w:val="22"/>
        </w:rPr>
        <w:t>Dialogue</w:t>
      </w:r>
      <w:proofErr w:type="spellEnd"/>
      <w:r w:rsidRPr="00A2768F">
        <w:rPr>
          <w:rFonts w:cs="Arial"/>
          <w:szCs w:val="22"/>
        </w:rPr>
        <w:t xml:space="preserve"> on </w:t>
      </w:r>
      <w:proofErr w:type="spellStart"/>
      <w:r w:rsidR="00334989" w:rsidRPr="00A2768F">
        <w:rPr>
          <w:rFonts w:cs="Arial"/>
          <w:szCs w:val="22"/>
        </w:rPr>
        <w:t>the</w:t>
      </w:r>
      <w:proofErr w:type="spellEnd"/>
      <w:r w:rsidR="00334989" w:rsidRPr="00A2768F">
        <w:rPr>
          <w:rFonts w:cs="Arial"/>
          <w:szCs w:val="22"/>
        </w:rPr>
        <w:t xml:space="preserve"> </w:t>
      </w:r>
      <w:proofErr w:type="spellStart"/>
      <w:r w:rsidRPr="00A2768F">
        <w:rPr>
          <w:rFonts w:cs="Arial"/>
          <w:szCs w:val="22"/>
        </w:rPr>
        <w:t>Indo-Pacific</w:t>
      </w:r>
      <w:proofErr w:type="spellEnd"/>
      <w:r w:rsidR="00A2768F">
        <w:rPr>
          <w:rFonts w:cs="Arial"/>
          <w:szCs w:val="22"/>
        </w:rPr>
        <w:t>“</w:t>
      </w:r>
      <w:r w:rsidRPr="00A2768F">
        <w:rPr>
          <w:rFonts w:cs="Arial"/>
          <w:szCs w:val="22"/>
        </w:rPr>
        <w:t xml:space="preserve"> </w:t>
      </w:r>
      <w:r w:rsidR="00FB1155" w:rsidRPr="00A2768F">
        <w:rPr>
          <w:rFonts w:cs="Arial"/>
          <w:szCs w:val="22"/>
        </w:rPr>
        <w:t xml:space="preserve">plánovaný </w:t>
      </w:r>
      <w:r w:rsidR="00E059E0" w:rsidRPr="00A2768F">
        <w:rPr>
          <w:rFonts w:cs="Arial"/>
          <w:szCs w:val="22"/>
        </w:rPr>
        <w:t>během</w:t>
      </w:r>
      <w:r w:rsidRPr="00A2768F">
        <w:rPr>
          <w:rFonts w:cs="Arial"/>
          <w:szCs w:val="22"/>
        </w:rPr>
        <w:t xml:space="preserve"> poslední</w:t>
      </w:r>
      <w:r w:rsidR="00E059E0" w:rsidRPr="00A2768F">
        <w:rPr>
          <w:rFonts w:cs="Arial"/>
          <w:szCs w:val="22"/>
        </w:rPr>
        <w:t>ho</w:t>
      </w:r>
      <w:r w:rsidRPr="00A2768F">
        <w:rPr>
          <w:rFonts w:cs="Arial"/>
          <w:szCs w:val="22"/>
        </w:rPr>
        <w:t xml:space="preserve"> měsíc</w:t>
      </w:r>
      <w:r w:rsidR="00E059E0" w:rsidRPr="00A2768F">
        <w:rPr>
          <w:rFonts w:cs="Arial"/>
          <w:szCs w:val="22"/>
        </w:rPr>
        <w:t xml:space="preserve">e </w:t>
      </w:r>
      <w:r w:rsidRPr="00A2768F">
        <w:rPr>
          <w:rFonts w:cs="Arial"/>
          <w:szCs w:val="22"/>
        </w:rPr>
        <w:t>francouzského předsednictví</w:t>
      </w:r>
      <w:r w:rsidR="00D47C45" w:rsidRPr="00A2768F">
        <w:rPr>
          <w:rFonts w:cs="Arial"/>
          <w:szCs w:val="22"/>
        </w:rPr>
        <w:t>, a to</w:t>
      </w:r>
      <w:r w:rsidR="00FB1155" w:rsidRPr="00A2768F">
        <w:rPr>
          <w:rFonts w:cs="Arial"/>
          <w:szCs w:val="22"/>
        </w:rPr>
        <w:t xml:space="preserve"> k</w:t>
      </w:r>
      <w:r w:rsidR="00A2768F">
        <w:rPr>
          <w:rFonts w:cs="Arial"/>
          <w:szCs w:val="22"/>
        </w:rPr>
        <w:t> formulaci klíčových principů a </w:t>
      </w:r>
      <w:r w:rsidR="00FB1155" w:rsidRPr="00A2768F">
        <w:rPr>
          <w:rFonts w:cs="Arial"/>
          <w:szCs w:val="22"/>
        </w:rPr>
        <w:t>východisek pro další práci s partnery v</w:t>
      </w:r>
      <w:r w:rsidR="00226C80" w:rsidRPr="00A2768F">
        <w:rPr>
          <w:rFonts w:cs="Arial"/>
          <w:szCs w:val="22"/>
        </w:rPr>
        <w:t> </w:t>
      </w:r>
      <w:r w:rsidR="00FB1155" w:rsidRPr="00A2768F">
        <w:rPr>
          <w:rFonts w:cs="Arial"/>
          <w:szCs w:val="22"/>
        </w:rPr>
        <w:t>regionu</w:t>
      </w:r>
      <w:r w:rsidR="00226C80" w:rsidRPr="00A2768F">
        <w:rPr>
          <w:rFonts w:cs="Arial"/>
          <w:szCs w:val="22"/>
        </w:rPr>
        <w:t xml:space="preserve"> a implementaci strategie EU</w:t>
      </w:r>
      <w:r w:rsidRPr="00A2768F">
        <w:rPr>
          <w:rFonts w:cs="Arial"/>
          <w:szCs w:val="22"/>
        </w:rPr>
        <w:t>.</w:t>
      </w:r>
    </w:p>
    <w:p w14:paraId="3CC67720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19013F8E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7567C6F8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4F1DF974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009D3D66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47CAF41B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0282C3A8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6AF8D66C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2483EE5B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788DD1C6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7EA14F04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00327454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32FC1699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3C8F3A06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6E8CDCA9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2CF87AEC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6EAC0573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52124F5A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08B4BCFE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5CDF9C3B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54DCE33D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0D44FE27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7DE2831E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643EE5EF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0A5981AF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63EBD5E4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66977D65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1070B5BB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09E63302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6B7E5D10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4D575C07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5EF75B76" w14:textId="77777777" w:rsidR="002B1143" w:rsidRDefault="002B1143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i/>
          <w:szCs w:val="22"/>
        </w:rPr>
      </w:pPr>
    </w:p>
    <w:p w14:paraId="4FE5A8D6" w14:textId="1F0D5EB7" w:rsidR="00F35116" w:rsidRPr="00F35116" w:rsidRDefault="00F35116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szCs w:val="22"/>
        </w:rPr>
      </w:pPr>
      <w:r w:rsidRPr="00F35116">
        <w:rPr>
          <w:rFonts w:asciiTheme="minorHAnsi" w:hAnsiTheme="minorHAnsi" w:cstheme="minorHAnsi"/>
          <w:i/>
          <w:szCs w:val="22"/>
        </w:rPr>
        <w:t>Tento text není prostým zápisem jednotlivých příspěvků, které byly v diskusi předneseny. Neobsahuje tedy vše, co bylo v diskusi řečeno a nevyjadřuje názor všech účastníků na všechna diskutovaná témata. Jedná se o shrnutí nejdůležitějších bodů a formulaci doporučení na základě proběhlé diskuze.</w:t>
      </w:r>
    </w:p>
    <w:p w14:paraId="388AF1A2" w14:textId="77777777" w:rsidR="00F35116" w:rsidRPr="00F35116" w:rsidRDefault="00F35116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szCs w:val="22"/>
        </w:rPr>
      </w:pPr>
      <w:r w:rsidRPr="00F35116">
        <w:rPr>
          <w:rFonts w:asciiTheme="minorHAnsi" w:hAnsiTheme="minorHAnsi" w:cstheme="minorHAnsi"/>
          <w:szCs w:val="22"/>
        </w:rPr>
        <w:t xml:space="preserve">Národní konvent o Evropské unii představuje diskuzní platformu, která je stálým místem </w:t>
      </w:r>
      <w:r w:rsidRPr="00F35116">
        <w:rPr>
          <w:rFonts w:asciiTheme="minorHAnsi" w:hAnsiTheme="minorHAnsi" w:cstheme="minorHAnsi"/>
          <w:szCs w:val="22"/>
        </w:rPr>
        <w:br/>
        <w:t>pro debatu o evropských otázkách v ČR.</w:t>
      </w:r>
    </w:p>
    <w:p w14:paraId="4564B02A" w14:textId="77777777" w:rsidR="00F35116" w:rsidRPr="00F35116" w:rsidRDefault="00F35116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szCs w:val="22"/>
        </w:rPr>
      </w:pPr>
      <w:r w:rsidRPr="00F35116">
        <w:rPr>
          <w:rFonts w:asciiTheme="minorHAnsi" w:hAnsiTheme="minorHAnsi" w:cstheme="minorHAnsi"/>
          <w:szCs w:val="22"/>
        </w:rPr>
        <w:t xml:space="preserve">Projekt, koordinovaný na půdě Úřadu vlády České republiky, propojuje zástupce vlády, obou komor Parlamentu ČR a Evropského parlamentu, odbornou veřejnost, neziskový sektor a sociální partnery a další zainteresované aktéry. </w:t>
      </w:r>
    </w:p>
    <w:p w14:paraId="7B8A9BE0" w14:textId="3E0007D3" w:rsidR="00AD1147" w:rsidRPr="00210027" w:rsidRDefault="00F35116" w:rsidP="002B1143">
      <w:pPr>
        <w:spacing w:before="0" w:beforeAutospacing="0" w:after="0" w:afterAutospacing="0" w:line="276" w:lineRule="auto"/>
        <w:ind w:left="357"/>
        <w:jc w:val="center"/>
        <w:rPr>
          <w:rFonts w:asciiTheme="minorHAnsi" w:hAnsiTheme="minorHAnsi" w:cstheme="minorHAnsi"/>
          <w:szCs w:val="22"/>
        </w:rPr>
      </w:pPr>
      <w:r w:rsidRPr="00F35116">
        <w:rPr>
          <w:rFonts w:asciiTheme="minorHAnsi" w:hAnsiTheme="minorHAnsi" w:cstheme="minorHAnsi"/>
          <w:szCs w:val="22"/>
        </w:rPr>
        <w:t xml:space="preserve">Více o Národním konventu najdete na internetových stránkách </w:t>
      </w:r>
      <w:hyperlink r:id="rId10" w:history="1">
        <w:r w:rsidRPr="00F35116">
          <w:rPr>
            <w:rStyle w:val="Hypertextovodkaz"/>
            <w:rFonts w:asciiTheme="minorHAnsi" w:hAnsiTheme="minorHAnsi" w:cstheme="minorHAnsi"/>
            <w:b/>
            <w:szCs w:val="22"/>
          </w:rPr>
          <w:t>www.narodnikonvent.cz</w:t>
        </w:r>
      </w:hyperlink>
      <w:r w:rsidRPr="00F35116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35116">
        <w:rPr>
          <w:rFonts w:asciiTheme="minorHAnsi" w:hAnsiTheme="minorHAnsi" w:cstheme="minorHAnsi"/>
          <w:szCs w:val="22"/>
        </w:rPr>
        <w:t>Twitteru</w:t>
      </w:r>
      <w:proofErr w:type="spellEnd"/>
      <w:r w:rsidRPr="00F35116">
        <w:rPr>
          <w:rFonts w:asciiTheme="minorHAnsi" w:hAnsiTheme="minorHAnsi" w:cstheme="minorHAnsi"/>
          <w:szCs w:val="22"/>
        </w:rPr>
        <w:t xml:space="preserve"> </w:t>
      </w:r>
      <w:r w:rsidRPr="00F35116">
        <w:rPr>
          <w:rStyle w:val="Hypertextovodkaz"/>
          <w:rFonts w:asciiTheme="minorHAnsi" w:hAnsiTheme="minorHAnsi" w:cstheme="minorHAnsi"/>
          <w:b/>
          <w:bCs/>
        </w:rPr>
        <w:t>@</w:t>
      </w:r>
      <w:proofErr w:type="spellStart"/>
      <w:r w:rsidRPr="00F35116">
        <w:rPr>
          <w:rStyle w:val="Hypertextovodkaz"/>
          <w:rFonts w:asciiTheme="minorHAnsi" w:hAnsiTheme="minorHAnsi" w:cstheme="minorHAnsi"/>
          <w:b/>
          <w:bCs/>
        </w:rPr>
        <w:t>KonventEU</w:t>
      </w:r>
      <w:proofErr w:type="spellEnd"/>
      <w:r w:rsidRPr="00F35116">
        <w:rPr>
          <w:rFonts w:asciiTheme="minorHAnsi" w:hAnsiTheme="minorHAnsi" w:cstheme="minorHAnsi"/>
          <w:b/>
          <w:color w:val="8F99CA"/>
          <w:szCs w:val="22"/>
        </w:rPr>
        <w:t xml:space="preserve"> </w:t>
      </w:r>
      <w:r w:rsidRPr="00F35116">
        <w:rPr>
          <w:rFonts w:asciiTheme="minorHAnsi" w:hAnsiTheme="minorHAnsi" w:cstheme="minorHAnsi"/>
          <w:szCs w:val="22"/>
          <w:lang w:val="pl-PL"/>
        </w:rPr>
        <w:t xml:space="preserve">a instagramovém profilu </w:t>
      </w:r>
      <w:r w:rsidR="00272F13">
        <w:fldChar w:fldCharType="begin"/>
      </w:r>
      <w:r w:rsidR="00272F13">
        <w:instrText xml:space="preserve"> HYPERLINK "https://www.instagram.com/</w:instrText>
      </w:r>
      <w:r w:rsidR="00272F13">
        <w:instrText xml:space="preserve">narodnikonvent/" </w:instrText>
      </w:r>
      <w:r w:rsidR="00272F13">
        <w:fldChar w:fldCharType="separate"/>
      </w:r>
      <w:r w:rsidRPr="00F35116">
        <w:rPr>
          <w:rStyle w:val="Hypertextovodkaz"/>
          <w:rFonts w:asciiTheme="minorHAnsi" w:hAnsiTheme="minorHAnsi" w:cstheme="minorHAnsi"/>
          <w:b/>
          <w:szCs w:val="22"/>
        </w:rPr>
        <w:t>@</w:t>
      </w:r>
      <w:proofErr w:type="spellStart"/>
      <w:r w:rsidRPr="00F35116">
        <w:rPr>
          <w:rStyle w:val="Hypertextovodkaz"/>
          <w:rFonts w:asciiTheme="minorHAnsi" w:hAnsiTheme="minorHAnsi" w:cstheme="minorHAnsi"/>
          <w:b/>
          <w:szCs w:val="22"/>
        </w:rPr>
        <w:t>narodnikonvent</w:t>
      </w:r>
      <w:proofErr w:type="spellEnd"/>
      <w:r w:rsidR="00272F13">
        <w:rPr>
          <w:rStyle w:val="Hypertextovodkaz"/>
          <w:rFonts w:asciiTheme="minorHAnsi" w:hAnsiTheme="minorHAnsi" w:cstheme="minorHAnsi"/>
          <w:b/>
          <w:szCs w:val="22"/>
        </w:rPr>
        <w:fldChar w:fldCharType="end"/>
      </w:r>
      <w:r w:rsidRPr="00F35116">
        <w:rPr>
          <w:rFonts w:asciiTheme="minorHAnsi" w:hAnsiTheme="minorHAnsi" w:cstheme="minorHAnsi"/>
          <w:szCs w:val="22"/>
          <w:lang w:val="pl-PL"/>
        </w:rPr>
        <w:t>.</w:t>
      </w:r>
    </w:p>
    <w:sectPr w:rsidR="00AD1147" w:rsidRPr="00210027" w:rsidSect="006B1A00">
      <w:footerReference w:type="default" r:id="rId11"/>
      <w:pgSz w:w="11906" w:h="16838"/>
      <w:pgMar w:top="1701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5751" w14:textId="77777777" w:rsidR="00250AA8" w:rsidRDefault="00250AA8" w:rsidP="00755631">
      <w:r>
        <w:separator/>
      </w:r>
    </w:p>
  </w:endnote>
  <w:endnote w:type="continuationSeparator" w:id="0">
    <w:p w14:paraId="32F27882" w14:textId="77777777" w:rsidR="00250AA8" w:rsidRDefault="00250AA8" w:rsidP="0075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panose1 w:val="02000503070000020003"/>
    <w:charset w:val="EE"/>
    <w:family w:val="auto"/>
    <w:pitch w:val="variable"/>
    <w:sig w:usb0="A00000AF" w:usb1="5000206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100728"/>
      <w:docPartObj>
        <w:docPartGallery w:val="Page Numbers (Bottom of Page)"/>
        <w:docPartUnique/>
      </w:docPartObj>
    </w:sdtPr>
    <w:sdtEndPr/>
    <w:sdtContent>
      <w:p w14:paraId="766D4379" w14:textId="06C36EC1" w:rsidR="00055DF1" w:rsidRDefault="00055DF1" w:rsidP="004E47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F1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A649" w14:textId="77777777" w:rsidR="00250AA8" w:rsidRDefault="00250AA8" w:rsidP="00755631">
      <w:r>
        <w:separator/>
      </w:r>
    </w:p>
  </w:footnote>
  <w:footnote w:type="continuationSeparator" w:id="0">
    <w:p w14:paraId="7E25D072" w14:textId="77777777" w:rsidR="00250AA8" w:rsidRDefault="00250AA8" w:rsidP="0075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6EB"/>
    <w:multiLevelType w:val="hybridMultilevel"/>
    <w:tmpl w:val="229046AE"/>
    <w:lvl w:ilvl="0" w:tplc="9CE6C5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4E7B"/>
    <w:multiLevelType w:val="hybridMultilevel"/>
    <w:tmpl w:val="2E0261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81268"/>
    <w:multiLevelType w:val="hybridMultilevel"/>
    <w:tmpl w:val="C1BCC4F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14A29"/>
    <w:multiLevelType w:val="hybridMultilevel"/>
    <w:tmpl w:val="FDFC5FCE"/>
    <w:lvl w:ilvl="0" w:tplc="F5429D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51D1"/>
    <w:multiLevelType w:val="hybridMultilevel"/>
    <w:tmpl w:val="ECEA82C2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A740B0"/>
    <w:multiLevelType w:val="hybridMultilevel"/>
    <w:tmpl w:val="A6E091C0"/>
    <w:lvl w:ilvl="0" w:tplc="3CD62C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F9603A"/>
    <w:multiLevelType w:val="hybridMultilevel"/>
    <w:tmpl w:val="DF7AD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46DD"/>
    <w:multiLevelType w:val="hybridMultilevel"/>
    <w:tmpl w:val="A0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B4B77"/>
    <w:multiLevelType w:val="hybridMultilevel"/>
    <w:tmpl w:val="C0E6D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2E69"/>
    <w:multiLevelType w:val="hybridMultilevel"/>
    <w:tmpl w:val="44585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9D528D"/>
    <w:multiLevelType w:val="hybridMultilevel"/>
    <w:tmpl w:val="57A031E6"/>
    <w:lvl w:ilvl="0" w:tplc="0405001B">
      <w:start w:val="1"/>
      <w:numFmt w:val="lowerRoman"/>
      <w:lvlText w:val="%1."/>
      <w:lvlJc w:val="righ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A1B179D"/>
    <w:multiLevelType w:val="hybridMultilevel"/>
    <w:tmpl w:val="3BEE6FFE"/>
    <w:lvl w:ilvl="0" w:tplc="3E2A1D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50A5"/>
    <w:multiLevelType w:val="hybridMultilevel"/>
    <w:tmpl w:val="17AED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836E5"/>
    <w:multiLevelType w:val="multilevel"/>
    <w:tmpl w:val="82CEC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A6065"/>
    <w:multiLevelType w:val="hybridMultilevel"/>
    <w:tmpl w:val="99889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467AF"/>
    <w:multiLevelType w:val="hybridMultilevel"/>
    <w:tmpl w:val="F0BE6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E3161"/>
    <w:multiLevelType w:val="hybridMultilevel"/>
    <w:tmpl w:val="1A7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583"/>
    <w:multiLevelType w:val="hybridMultilevel"/>
    <w:tmpl w:val="1A56A9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533C75"/>
    <w:multiLevelType w:val="hybridMultilevel"/>
    <w:tmpl w:val="1A9085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F715B1"/>
    <w:multiLevelType w:val="hybridMultilevel"/>
    <w:tmpl w:val="E7764162"/>
    <w:lvl w:ilvl="0" w:tplc="011846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C252A"/>
    <w:multiLevelType w:val="hybridMultilevel"/>
    <w:tmpl w:val="7AFC7DB8"/>
    <w:lvl w:ilvl="0" w:tplc="4DB6B1F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B0ED2"/>
    <w:multiLevelType w:val="hybridMultilevel"/>
    <w:tmpl w:val="90A20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B7D7A"/>
    <w:multiLevelType w:val="hybridMultilevel"/>
    <w:tmpl w:val="38D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35DDB"/>
    <w:multiLevelType w:val="hybridMultilevel"/>
    <w:tmpl w:val="EBD26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7879"/>
    <w:multiLevelType w:val="hybridMultilevel"/>
    <w:tmpl w:val="FE72F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467EA5"/>
    <w:multiLevelType w:val="hybridMultilevel"/>
    <w:tmpl w:val="C63ED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093969"/>
    <w:multiLevelType w:val="hybridMultilevel"/>
    <w:tmpl w:val="6C7AE2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976EC7"/>
    <w:multiLevelType w:val="hybridMultilevel"/>
    <w:tmpl w:val="A7283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A095A"/>
    <w:multiLevelType w:val="hybridMultilevel"/>
    <w:tmpl w:val="E09A37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4D4FAB"/>
    <w:multiLevelType w:val="hybridMultilevel"/>
    <w:tmpl w:val="85F23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94A4B"/>
    <w:multiLevelType w:val="hybridMultilevel"/>
    <w:tmpl w:val="ED72B338"/>
    <w:lvl w:ilvl="0" w:tplc="F63CE0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FB25A2E"/>
    <w:multiLevelType w:val="hybridMultilevel"/>
    <w:tmpl w:val="BDE0E07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B34157"/>
    <w:multiLevelType w:val="hybridMultilevel"/>
    <w:tmpl w:val="E7D09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E76DA"/>
    <w:multiLevelType w:val="hybridMultilevel"/>
    <w:tmpl w:val="5B845CFA"/>
    <w:lvl w:ilvl="0" w:tplc="74403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95BC5"/>
    <w:multiLevelType w:val="hybridMultilevel"/>
    <w:tmpl w:val="4404C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A036E"/>
    <w:multiLevelType w:val="hybridMultilevel"/>
    <w:tmpl w:val="7DEC2BAC"/>
    <w:lvl w:ilvl="0" w:tplc="95A6A6D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0C7543"/>
    <w:multiLevelType w:val="hybridMultilevel"/>
    <w:tmpl w:val="D66C6C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B2064"/>
    <w:multiLevelType w:val="hybridMultilevel"/>
    <w:tmpl w:val="6A6E8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CA17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21"/>
  </w:num>
  <w:num w:numId="4">
    <w:abstractNumId w:val="7"/>
  </w:num>
  <w:num w:numId="5">
    <w:abstractNumId w:val="25"/>
  </w:num>
  <w:num w:numId="6">
    <w:abstractNumId w:val="31"/>
  </w:num>
  <w:num w:numId="7">
    <w:abstractNumId w:val="2"/>
  </w:num>
  <w:num w:numId="8">
    <w:abstractNumId w:val="18"/>
  </w:num>
  <w:num w:numId="9">
    <w:abstractNumId w:val="24"/>
  </w:num>
  <w:num w:numId="10">
    <w:abstractNumId w:val="11"/>
  </w:num>
  <w:num w:numId="11">
    <w:abstractNumId w:val="22"/>
  </w:num>
  <w:num w:numId="12">
    <w:abstractNumId w:val="0"/>
  </w:num>
  <w:num w:numId="13">
    <w:abstractNumId w:val="8"/>
  </w:num>
  <w:num w:numId="14">
    <w:abstractNumId w:val="14"/>
  </w:num>
  <w:num w:numId="15">
    <w:abstractNumId w:val="17"/>
  </w:num>
  <w:num w:numId="16">
    <w:abstractNumId w:val="1"/>
  </w:num>
  <w:num w:numId="17">
    <w:abstractNumId w:val="23"/>
  </w:num>
  <w:num w:numId="18">
    <w:abstractNumId w:val="15"/>
  </w:num>
  <w:num w:numId="19">
    <w:abstractNumId w:val="9"/>
  </w:num>
  <w:num w:numId="20">
    <w:abstractNumId w:val="37"/>
  </w:num>
  <w:num w:numId="21">
    <w:abstractNumId w:val="10"/>
  </w:num>
  <w:num w:numId="22">
    <w:abstractNumId w:val="30"/>
  </w:num>
  <w:num w:numId="23">
    <w:abstractNumId w:val="5"/>
  </w:num>
  <w:num w:numId="24">
    <w:abstractNumId w:val="4"/>
  </w:num>
  <w:num w:numId="25">
    <w:abstractNumId w:val="35"/>
  </w:num>
  <w:num w:numId="26">
    <w:abstractNumId w:val="34"/>
  </w:num>
  <w:num w:numId="27">
    <w:abstractNumId w:val="6"/>
  </w:num>
  <w:num w:numId="28">
    <w:abstractNumId w:val="12"/>
  </w:num>
  <w:num w:numId="29">
    <w:abstractNumId w:val="19"/>
  </w:num>
  <w:num w:numId="30">
    <w:abstractNumId w:val="27"/>
  </w:num>
  <w:num w:numId="31">
    <w:abstractNumId w:val="29"/>
  </w:num>
  <w:num w:numId="32">
    <w:abstractNumId w:val="36"/>
  </w:num>
  <w:num w:numId="33">
    <w:abstractNumId w:val="16"/>
  </w:num>
  <w:num w:numId="34">
    <w:abstractNumId w:val="33"/>
  </w:num>
  <w:num w:numId="35">
    <w:abstractNumId w:val="20"/>
  </w:num>
  <w:num w:numId="36">
    <w:abstractNumId w:val="13"/>
  </w:num>
  <w:num w:numId="37">
    <w:abstractNumId w:val="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F2"/>
    <w:rsid w:val="000016C9"/>
    <w:rsid w:val="0000219E"/>
    <w:rsid w:val="000033E2"/>
    <w:rsid w:val="00005502"/>
    <w:rsid w:val="0001673B"/>
    <w:rsid w:val="000172CC"/>
    <w:rsid w:val="00017366"/>
    <w:rsid w:val="000177EE"/>
    <w:rsid w:val="00022814"/>
    <w:rsid w:val="00023601"/>
    <w:rsid w:val="000262D1"/>
    <w:rsid w:val="000263B0"/>
    <w:rsid w:val="00027BBB"/>
    <w:rsid w:val="000305F3"/>
    <w:rsid w:val="00032DD0"/>
    <w:rsid w:val="00033B22"/>
    <w:rsid w:val="00041294"/>
    <w:rsid w:val="00042469"/>
    <w:rsid w:val="00046058"/>
    <w:rsid w:val="00047480"/>
    <w:rsid w:val="00047EDF"/>
    <w:rsid w:val="00055910"/>
    <w:rsid w:val="00055C5D"/>
    <w:rsid w:val="00055DF1"/>
    <w:rsid w:val="0005665F"/>
    <w:rsid w:val="00057CFE"/>
    <w:rsid w:val="0006122A"/>
    <w:rsid w:val="000623F5"/>
    <w:rsid w:val="00063FFD"/>
    <w:rsid w:val="0006528B"/>
    <w:rsid w:val="000668E3"/>
    <w:rsid w:val="0007148F"/>
    <w:rsid w:val="0007197C"/>
    <w:rsid w:val="00072C43"/>
    <w:rsid w:val="0007643B"/>
    <w:rsid w:val="00076677"/>
    <w:rsid w:val="00076AB4"/>
    <w:rsid w:val="000810BE"/>
    <w:rsid w:val="0008112F"/>
    <w:rsid w:val="0008160E"/>
    <w:rsid w:val="00084402"/>
    <w:rsid w:val="000851D6"/>
    <w:rsid w:val="000873F7"/>
    <w:rsid w:val="0008754F"/>
    <w:rsid w:val="000877DE"/>
    <w:rsid w:val="00091EC9"/>
    <w:rsid w:val="000933BB"/>
    <w:rsid w:val="00093E19"/>
    <w:rsid w:val="000961DD"/>
    <w:rsid w:val="000A05B7"/>
    <w:rsid w:val="000A302B"/>
    <w:rsid w:val="000A343B"/>
    <w:rsid w:val="000A5142"/>
    <w:rsid w:val="000A6F55"/>
    <w:rsid w:val="000A771D"/>
    <w:rsid w:val="000A7E18"/>
    <w:rsid w:val="000B0247"/>
    <w:rsid w:val="000B174E"/>
    <w:rsid w:val="000B354E"/>
    <w:rsid w:val="000B3CEB"/>
    <w:rsid w:val="000C166E"/>
    <w:rsid w:val="000C37AF"/>
    <w:rsid w:val="000C4CA1"/>
    <w:rsid w:val="000C73E2"/>
    <w:rsid w:val="000D00AD"/>
    <w:rsid w:val="000D11FF"/>
    <w:rsid w:val="000E06C1"/>
    <w:rsid w:val="000E0E7D"/>
    <w:rsid w:val="000E3638"/>
    <w:rsid w:val="000E39DB"/>
    <w:rsid w:val="000E422C"/>
    <w:rsid w:val="000E7BB5"/>
    <w:rsid w:val="000E7E7B"/>
    <w:rsid w:val="000F03EF"/>
    <w:rsid w:val="000F137F"/>
    <w:rsid w:val="000F477C"/>
    <w:rsid w:val="000F5EB9"/>
    <w:rsid w:val="000F6FA1"/>
    <w:rsid w:val="000F73B6"/>
    <w:rsid w:val="00101770"/>
    <w:rsid w:val="001020FC"/>
    <w:rsid w:val="001066B7"/>
    <w:rsid w:val="0011040C"/>
    <w:rsid w:val="001104B4"/>
    <w:rsid w:val="00110612"/>
    <w:rsid w:val="00111060"/>
    <w:rsid w:val="0011161E"/>
    <w:rsid w:val="00114D8F"/>
    <w:rsid w:val="00120C9A"/>
    <w:rsid w:val="00121949"/>
    <w:rsid w:val="00122126"/>
    <w:rsid w:val="00122864"/>
    <w:rsid w:val="00123A36"/>
    <w:rsid w:val="00124D79"/>
    <w:rsid w:val="00125DF4"/>
    <w:rsid w:val="001303ED"/>
    <w:rsid w:val="00130834"/>
    <w:rsid w:val="00130894"/>
    <w:rsid w:val="00132F77"/>
    <w:rsid w:val="00136719"/>
    <w:rsid w:val="00140436"/>
    <w:rsid w:val="00140B75"/>
    <w:rsid w:val="00140BAA"/>
    <w:rsid w:val="00141496"/>
    <w:rsid w:val="00143370"/>
    <w:rsid w:val="00144A23"/>
    <w:rsid w:val="001459E0"/>
    <w:rsid w:val="00147B72"/>
    <w:rsid w:val="00147C3E"/>
    <w:rsid w:val="00150E74"/>
    <w:rsid w:val="001517D1"/>
    <w:rsid w:val="0015351A"/>
    <w:rsid w:val="00153E60"/>
    <w:rsid w:val="00154F4E"/>
    <w:rsid w:val="00155AAB"/>
    <w:rsid w:val="00155C53"/>
    <w:rsid w:val="00161A40"/>
    <w:rsid w:val="00161CF6"/>
    <w:rsid w:val="00161D3C"/>
    <w:rsid w:val="00167A32"/>
    <w:rsid w:val="00177AF4"/>
    <w:rsid w:val="0018082A"/>
    <w:rsid w:val="001858C0"/>
    <w:rsid w:val="00185F64"/>
    <w:rsid w:val="001927EC"/>
    <w:rsid w:val="00193B7A"/>
    <w:rsid w:val="00194F49"/>
    <w:rsid w:val="00196344"/>
    <w:rsid w:val="001A41E9"/>
    <w:rsid w:val="001B1738"/>
    <w:rsid w:val="001B3053"/>
    <w:rsid w:val="001B3FF2"/>
    <w:rsid w:val="001B7848"/>
    <w:rsid w:val="001C3376"/>
    <w:rsid w:val="001C3DE7"/>
    <w:rsid w:val="001D09E6"/>
    <w:rsid w:val="001D0F08"/>
    <w:rsid w:val="001D33C0"/>
    <w:rsid w:val="001D7A3B"/>
    <w:rsid w:val="001E04AE"/>
    <w:rsid w:val="001E2BAE"/>
    <w:rsid w:val="001E4BD6"/>
    <w:rsid w:val="001E5E17"/>
    <w:rsid w:val="001E70BD"/>
    <w:rsid w:val="001F0445"/>
    <w:rsid w:val="001F0EED"/>
    <w:rsid w:val="001F2C74"/>
    <w:rsid w:val="001F3839"/>
    <w:rsid w:val="001F39BC"/>
    <w:rsid w:val="001F62A9"/>
    <w:rsid w:val="001F7A57"/>
    <w:rsid w:val="00201E9D"/>
    <w:rsid w:val="00203B0E"/>
    <w:rsid w:val="002047EC"/>
    <w:rsid w:val="00205CA4"/>
    <w:rsid w:val="002072EC"/>
    <w:rsid w:val="00210027"/>
    <w:rsid w:val="0021020E"/>
    <w:rsid w:val="00212A00"/>
    <w:rsid w:val="00213342"/>
    <w:rsid w:val="00217227"/>
    <w:rsid w:val="0022242F"/>
    <w:rsid w:val="00222534"/>
    <w:rsid w:val="00222ACE"/>
    <w:rsid w:val="002233AC"/>
    <w:rsid w:val="002237B6"/>
    <w:rsid w:val="002254C7"/>
    <w:rsid w:val="002266BC"/>
    <w:rsid w:val="00226C80"/>
    <w:rsid w:val="00227B1A"/>
    <w:rsid w:val="00231F33"/>
    <w:rsid w:val="00234784"/>
    <w:rsid w:val="00236DC7"/>
    <w:rsid w:val="002370AC"/>
    <w:rsid w:val="00241775"/>
    <w:rsid w:val="00241F37"/>
    <w:rsid w:val="00247916"/>
    <w:rsid w:val="00250AA8"/>
    <w:rsid w:val="002517CC"/>
    <w:rsid w:val="00251F86"/>
    <w:rsid w:val="002527AE"/>
    <w:rsid w:val="00253C08"/>
    <w:rsid w:val="0025441A"/>
    <w:rsid w:val="00254822"/>
    <w:rsid w:val="002563B7"/>
    <w:rsid w:val="00256B21"/>
    <w:rsid w:val="0025729B"/>
    <w:rsid w:val="00263A6F"/>
    <w:rsid w:val="00265ABE"/>
    <w:rsid w:val="00270CCB"/>
    <w:rsid w:val="00272F13"/>
    <w:rsid w:val="00274DB5"/>
    <w:rsid w:val="00275367"/>
    <w:rsid w:val="00281BB6"/>
    <w:rsid w:val="00285D1B"/>
    <w:rsid w:val="00285FA3"/>
    <w:rsid w:val="00286EB6"/>
    <w:rsid w:val="00287B55"/>
    <w:rsid w:val="00290184"/>
    <w:rsid w:val="00291504"/>
    <w:rsid w:val="00295077"/>
    <w:rsid w:val="00296BD8"/>
    <w:rsid w:val="002A0090"/>
    <w:rsid w:val="002A2903"/>
    <w:rsid w:val="002A2A82"/>
    <w:rsid w:val="002A3182"/>
    <w:rsid w:val="002A42E8"/>
    <w:rsid w:val="002A4335"/>
    <w:rsid w:val="002A4B94"/>
    <w:rsid w:val="002A5BCB"/>
    <w:rsid w:val="002B1143"/>
    <w:rsid w:val="002B12D5"/>
    <w:rsid w:val="002B3509"/>
    <w:rsid w:val="002B44FA"/>
    <w:rsid w:val="002B5621"/>
    <w:rsid w:val="002B5C1E"/>
    <w:rsid w:val="002B6C88"/>
    <w:rsid w:val="002C48C4"/>
    <w:rsid w:val="002C5202"/>
    <w:rsid w:val="002D1BDE"/>
    <w:rsid w:val="002D61E2"/>
    <w:rsid w:val="002D6AF8"/>
    <w:rsid w:val="002D7B13"/>
    <w:rsid w:val="002E0AC6"/>
    <w:rsid w:val="002E42BB"/>
    <w:rsid w:val="002E4CD3"/>
    <w:rsid w:val="002E6D03"/>
    <w:rsid w:val="002E7776"/>
    <w:rsid w:val="002E79D6"/>
    <w:rsid w:val="002F125A"/>
    <w:rsid w:val="002F165B"/>
    <w:rsid w:val="002F2BDC"/>
    <w:rsid w:val="002F2CA0"/>
    <w:rsid w:val="002F3B07"/>
    <w:rsid w:val="002F412A"/>
    <w:rsid w:val="002F441E"/>
    <w:rsid w:val="002F7240"/>
    <w:rsid w:val="002F79F2"/>
    <w:rsid w:val="002F7F99"/>
    <w:rsid w:val="00300322"/>
    <w:rsid w:val="00300424"/>
    <w:rsid w:val="00301397"/>
    <w:rsid w:val="00302B33"/>
    <w:rsid w:val="003030FF"/>
    <w:rsid w:val="00303E28"/>
    <w:rsid w:val="003078D4"/>
    <w:rsid w:val="00311955"/>
    <w:rsid w:val="0031703E"/>
    <w:rsid w:val="0032204A"/>
    <w:rsid w:val="003258DF"/>
    <w:rsid w:val="0032740C"/>
    <w:rsid w:val="00327772"/>
    <w:rsid w:val="00330ED8"/>
    <w:rsid w:val="00331E68"/>
    <w:rsid w:val="00333A8A"/>
    <w:rsid w:val="00334989"/>
    <w:rsid w:val="00335193"/>
    <w:rsid w:val="003406EB"/>
    <w:rsid w:val="00340E70"/>
    <w:rsid w:val="0034106E"/>
    <w:rsid w:val="00341EF2"/>
    <w:rsid w:val="003429E4"/>
    <w:rsid w:val="00345F70"/>
    <w:rsid w:val="00346D86"/>
    <w:rsid w:val="0035019E"/>
    <w:rsid w:val="0035084D"/>
    <w:rsid w:val="00350E70"/>
    <w:rsid w:val="003538D6"/>
    <w:rsid w:val="0035512C"/>
    <w:rsid w:val="003558FB"/>
    <w:rsid w:val="0035720D"/>
    <w:rsid w:val="0036076C"/>
    <w:rsid w:val="003619DF"/>
    <w:rsid w:val="00365015"/>
    <w:rsid w:val="00365799"/>
    <w:rsid w:val="00366940"/>
    <w:rsid w:val="003675BB"/>
    <w:rsid w:val="00371CAD"/>
    <w:rsid w:val="00373946"/>
    <w:rsid w:val="00375B8C"/>
    <w:rsid w:val="00383543"/>
    <w:rsid w:val="00384A1A"/>
    <w:rsid w:val="00384A64"/>
    <w:rsid w:val="00384ADE"/>
    <w:rsid w:val="00386465"/>
    <w:rsid w:val="00386AE5"/>
    <w:rsid w:val="00391227"/>
    <w:rsid w:val="00391EBB"/>
    <w:rsid w:val="003921EB"/>
    <w:rsid w:val="003927C0"/>
    <w:rsid w:val="00392EA5"/>
    <w:rsid w:val="0039414F"/>
    <w:rsid w:val="00396985"/>
    <w:rsid w:val="003A03D4"/>
    <w:rsid w:val="003A0E7C"/>
    <w:rsid w:val="003A1083"/>
    <w:rsid w:val="003A4694"/>
    <w:rsid w:val="003A69E2"/>
    <w:rsid w:val="003A7DD8"/>
    <w:rsid w:val="003B3BD9"/>
    <w:rsid w:val="003C1BBB"/>
    <w:rsid w:val="003C317A"/>
    <w:rsid w:val="003C397D"/>
    <w:rsid w:val="003C427E"/>
    <w:rsid w:val="003C46D7"/>
    <w:rsid w:val="003C5972"/>
    <w:rsid w:val="003C6946"/>
    <w:rsid w:val="003C7B43"/>
    <w:rsid w:val="003D0642"/>
    <w:rsid w:val="003D07AA"/>
    <w:rsid w:val="003D1FA9"/>
    <w:rsid w:val="003D5FAF"/>
    <w:rsid w:val="003D643A"/>
    <w:rsid w:val="003D6A44"/>
    <w:rsid w:val="003E07A9"/>
    <w:rsid w:val="003E5920"/>
    <w:rsid w:val="003F517E"/>
    <w:rsid w:val="003F6B5C"/>
    <w:rsid w:val="003F7236"/>
    <w:rsid w:val="0040247B"/>
    <w:rsid w:val="0040326E"/>
    <w:rsid w:val="00403386"/>
    <w:rsid w:val="0040374C"/>
    <w:rsid w:val="00404409"/>
    <w:rsid w:val="00405384"/>
    <w:rsid w:val="00406EA2"/>
    <w:rsid w:val="00410CFA"/>
    <w:rsid w:val="00412FB6"/>
    <w:rsid w:val="0041667B"/>
    <w:rsid w:val="00416A0E"/>
    <w:rsid w:val="00417676"/>
    <w:rsid w:val="00424084"/>
    <w:rsid w:val="0042453E"/>
    <w:rsid w:val="0042468C"/>
    <w:rsid w:val="00427422"/>
    <w:rsid w:val="00427572"/>
    <w:rsid w:val="00430042"/>
    <w:rsid w:val="00431569"/>
    <w:rsid w:val="004338F1"/>
    <w:rsid w:val="00433B42"/>
    <w:rsid w:val="004354EC"/>
    <w:rsid w:val="00435E65"/>
    <w:rsid w:val="004362DA"/>
    <w:rsid w:val="004366AA"/>
    <w:rsid w:val="004407C6"/>
    <w:rsid w:val="0044100A"/>
    <w:rsid w:val="004429CB"/>
    <w:rsid w:val="00445A46"/>
    <w:rsid w:val="004519FD"/>
    <w:rsid w:val="00452075"/>
    <w:rsid w:val="0045321C"/>
    <w:rsid w:val="004533C7"/>
    <w:rsid w:val="00453F06"/>
    <w:rsid w:val="00463E87"/>
    <w:rsid w:val="004646CF"/>
    <w:rsid w:val="0047083D"/>
    <w:rsid w:val="004720BC"/>
    <w:rsid w:val="0047224B"/>
    <w:rsid w:val="004739E9"/>
    <w:rsid w:val="00474DCD"/>
    <w:rsid w:val="00480C86"/>
    <w:rsid w:val="00480DCE"/>
    <w:rsid w:val="00482C70"/>
    <w:rsid w:val="00482D10"/>
    <w:rsid w:val="004832F8"/>
    <w:rsid w:val="00483671"/>
    <w:rsid w:val="004836C9"/>
    <w:rsid w:val="004839F8"/>
    <w:rsid w:val="00485019"/>
    <w:rsid w:val="00485334"/>
    <w:rsid w:val="004926C9"/>
    <w:rsid w:val="00492EB5"/>
    <w:rsid w:val="004933D5"/>
    <w:rsid w:val="00496264"/>
    <w:rsid w:val="0049676E"/>
    <w:rsid w:val="00497151"/>
    <w:rsid w:val="004A12D5"/>
    <w:rsid w:val="004A3F06"/>
    <w:rsid w:val="004A730E"/>
    <w:rsid w:val="004B093E"/>
    <w:rsid w:val="004B2E7A"/>
    <w:rsid w:val="004B370A"/>
    <w:rsid w:val="004B3E02"/>
    <w:rsid w:val="004B4B6A"/>
    <w:rsid w:val="004B5AD6"/>
    <w:rsid w:val="004C1A08"/>
    <w:rsid w:val="004C654C"/>
    <w:rsid w:val="004D005C"/>
    <w:rsid w:val="004D1C4A"/>
    <w:rsid w:val="004D22B2"/>
    <w:rsid w:val="004D27B4"/>
    <w:rsid w:val="004D38C8"/>
    <w:rsid w:val="004D5079"/>
    <w:rsid w:val="004D5487"/>
    <w:rsid w:val="004D5973"/>
    <w:rsid w:val="004D6202"/>
    <w:rsid w:val="004D62BB"/>
    <w:rsid w:val="004E27E9"/>
    <w:rsid w:val="004E3BF4"/>
    <w:rsid w:val="004E4724"/>
    <w:rsid w:val="004E535A"/>
    <w:rsid w:val="004E5AD4"/>
    <w:rsid w:val="004E6D4C"/>
    <w:rsid w:val="004F1264"/>
    <w:rsid w:val="004F3A75"/>
    <w:rsid w:val="004F4B28"/>
    <w:rsid w:val="004F7242"/>
    <w:rsid w:val="005014C6"/>
    <w:rsid w:val="00502491"/>
    <w:rsid w:val="00502CCA"/>
    <w:rsid w:val="00503E4C"/>
    <w:rsid w:val="005048C0"/>
    <w:rsid w:val="00513166"/>
    <w:rsid w:val="00515B49"/>
    <w:rsid w:val="005166A9"/>
    <w:rsid w:val="00516C86"/>
    <w:rsid w:val="0051746A"/>
    <w:rsid w:val="00517559"/>
    <w:rsid w:val="005176EA"/>
    <w:rsid w:val="00521016"/>
    <w:rsid w:val="00521443"/>
    <w:rsid w:val="00521ACE"/>
    <w:rsid w:val="00524765"/>
    <w:rsid w:val="005252BF"/>
    <w:rsid w:val="00532289"/>
    <w:rsid w:val="00533590"/>
    <w:rsid w:val="00533DCC"/>
    <w:rsid w:val="00534417"/>
    <w:rsid w:val="0053630C"/>
    <w:rsid w:val="00537352"/>
    <w:rsid w:val="005428B4"/>
    <w:rsid w:val="0054610D"/>
    <w:rsid w:val="00546333"/>
    <w:rsid w:val="00547B72"/>
    <w:rsid w:val="00547B85"/>
    <w:rsid w:val="00552A1B"/>
    <w:rsid w:val="0055502B"/>
    <w:rsid w:val="00557B26"/>
    <w:rsid w:val="00561071"/>
    <w:rsid w:val="005611B7"/>
    <w:rsid w:val="00565681"/>
    <w:rsid w:val="005662C1"/>
    <w:rsid w:val="0056709C"/>
    <w:rsid w:val="00570700"/>
    <w:rsid w:val="00571F9D"/>
    <w:rsid w:val="00573C00"/>
    <w:rsid w:val="005741BF"/>
    <w:rsid w:val="00576F0F"/>
    <w:rsid w:val="005810E7"/>
    <w:rsid w:val="00584D7C"/>
    <w:rsid w:val="0058753C"/>
    <w:rsid w:val="00591DCC"/>
    <w:rsid w:val="005922CD"/>
    <w:rsid w:val="0059664F"/>
    <w:rsid w:val="00596AFD"/>
    <w:rsid w:val="0059728C"/>
    <w:rsid w:val="00597A85"/>
    <w:rsid w:val="005A1F1B"/>
    <w:rsid w:val="005A2B3A"/>
    <w:rsid w:val="005A3D2B"/>
    <w:rsid w:val="005A47D0"/>
    <w:rsid w:val="005A49FF"/>
    <w:rsid w:val="005A65B7"/>
    <w:rsid w:val="005A7A80"/>
    <w:rsid w:val="005A7B01"/>
    <w:rsid w:val="005B25AA"/>
    <w:rsid w:val="005B4381"/>
    <w:rsid w:val="005B695F"/>
    <w:rsid w:val="005B75AA"/>
    <w:rsid w:val="005B7678"/>
    <w:rsid w:val="005C11BB"/>
    <w:rsid w:val="005C3462"/>
    <w:rsid w:val="005D2C2C"/>
    <w:rsid w:val="005D314D"/>
    <w:rsid w:val="005D32C3"/>
    <w:rsid w:val="005D402B"/>
    <w:rsid w:val="005D5BDC"/>
    <w:rsid w:val="005D6A04"/>
    <w:rsid w:val="005E06FE"/>
    <w:rsid w:val="005E25CE"/>
    <w:rsid w:val="005E2815"/>
    <w:rsid w:val="005E3047"/>
    <w:rsid w:val="005E4E5A"/>
    <w:rsid w:val="005E58A8"/>
    <w:rsid w:val="005E6732"/>
    <w:rsid w:val="005E6D01"/>
    <w:rsid w:val="005E790A"/>
    <w:rsid w:val="005F01AF"/>
    <w:rsid w:val="005F17E9"/>
    <w:rsid w:val="005F6D73"/>
    <w:rsid w:val="005F7FDD"/>
    <w:rsid w:val="00600EEB"/>
    <w:rsid w:val="006024A5"/>
    <w:rsid w:val="006036AA"/>
    <w:rsid w:val="006059B0"/>
    <w:rsid w:val="0061227C"/>
    <w:rsid w:val="006144B8"/>
    <w:rsid w:val="0061746C"/>
    <w:rsid w:val="006211FD"/>
    <w:rsid w:val="00625941"/>
    <w:rsid w:val="00630F53"/>
    <w:rsid w:val="00633574"/>
    <w:rsid w:val="00634854"/>
    <w:rsid w:val="0063605A"/>
    <w:rsid w:val="00636B0A"/>
    <w:rsid w:val="00637ABB"/>
    <w:rsid w:val="00637CD4"/>
    <w:rsid w:val="006420DD"/>
    <w:rsid w:val="0064219E"/>
    <w:rsid w:val="00642F5B"/>
    <w:rsid w:val="00644A72"/>
    <w:rsid w:val="00646491"/>
    <w:rsid w:val="00651450"/>
    <w:rsid w:val="00653C04"/>
    <w:rsid w:val="00654362"/>
    <w:rsid w:val="0065540E"/>
    <w:rsid w:val="0065696D"/>
    <w:rsid w:val="006575DE"/>
    <w:rsid w:val="00662B94"/>
    <w:rsid w:val="006630F7"/>
    <w:rsid w:val="00666919"/>
    <w:rsid w:val="00670E70"/>
    <w:rsid w:val="00671C4B"/>
    <w:rsid w:val="00672120"/>
    <w:rsid w:val="006752D4"/>
    <w:rsid w:val="0067576F"/>
    <w:rsid w:val="0067600C"/>
    <w:rsid w:val="00680898"/>
    <w:rsid w:val="00684FCE"/>
    <w:rsid w:val="006858F6"/>
    <w:rsid w:val="006869C0"/>
    <w:rsid w:val="00690F3E"/>
    <w:rsid w:val="00692595"/>
    <w:rsid w:val="00694AF2"/>
    <w:rsid w:val="00696A70"/>
    <w:rsid w:val="00697D69"/>
    <w:rsid w:val="006A0021"/>
    <w:rsid w:val="006A242C"/>
    <w:rsid w:val="006A2D44"/>
    <w:rsid w:val="006A650E"/>
    <w:rsid w:val="006A6AFE"/>
    <w:rsid w:val="006A76B8"/>
    <w:rsid w:val="006B1A00"/>
    <w:rsid w:val="006B3460"/>
    <w:rsid w:val="006B41C6"/>
    <w:rsid w:val="006C051C"/>
    <w:rsid w:val="006C0524"/>
    <w:rsid w:val="006C159F"/>
    <w:rsid w:val="006C4ECD"/>
    <w:rsid w:val="006C6436"/>
    <w:rsid w:val="006D0E2D"/>
    <w:rsid w:val="006D23D9"/>
    <w:rsid w:val="006D30C2"/>
    <w:rsid w:val="006D4455"/>
    <w:rsid w:val="006D7E81"/>
    <w:rsid w:val="006E15D5"/>
    <w:rsid w:val="006E3F85"/>
    <w:rsid w:val="006E477F"/>
    <w:rsid w:val="006E7EEF"/>
    <w:rsid w:val="006F1496"/>
    <w:rsid w:val="006F5B1D"/>
    <w:rsid w:val="006F5DB1"/>
    <w:rsid w:val="006F6663"/>
    <w:rsid w:val="00705ABC"/>
    <w:rsid w:val="00707731"/>
    <w:rsid w:val="00711406"/>
    <w:rsid w:val="00711F26"/>
    <w:rsid w:val="00712629"/>
    <w:rsid w:val="00716BC0"/>
    <w:rsid w:val="0072040A"/>
    <w:rsid w:val="00721259"/>
    <w:rsid w:val="00722EB9"/>
    <w:rsid w:val="00725469"/>
    <w:rsid w:val="00730640"/>
    <w:rsid w:val="0073657A"/>
    <w:rsid w:val="007373D1"/>
    <w:rsid w:val="00743F65"/>
    <w:rsid w:val="00744796"/>
    <w:rsid w:val="00744885"/>
    <w:rsid w:val="00745C30"/>
    <w:rsid w:val="00750AA9"/>
    <w:rsid w:val="00751519"/>
    <w:rsid w:val="007521A6"/>
    <w:rsid w:val="007537A5"/>
    <w:rsid w:val="007547CB"/>
    <w:rsid w:val="00755631"/>
    <w:rsid w:val="007559AC"/>
    <w:rsid w:val="0076060B"/>
    <w:rsid w:val="00760A1D"/>
    <w:rsid w:val="00763207"/>
    <w:rsid w:val="007632BA"/>
    <w:rsid w:val="007663F0"/>
    <w:rsid w:val="00770485"/>
    <w:rsid w:val="00771537"/>
    <w:rsid w:val="00776EFA"/>
    <w:rsid w:val="00777332"/>
    <w:rsid w:val="007774D2"/>
    <w:rsid w:val="0078052A"/>
    <w:rsid w:val="00781251"/>
    <w:rsid w:val="00781C20"/>
    <w:rsid w:val="0078216E"/>
    <w:rsid w:val="00782B3E"/>
    <w:rsid w:val="0078391B"/>
    <w:rsid w:val="00784039"/>
    <w:rsid w:val="00784458"/>
    <w:rsid w:val="007917ED"/>
    <w:rsid w:val="00793456"/>
    <w:rsid w:val="007944F8"/>
    <w:rsid w:val="007A145D"/>
    <w:rsid w:val="007A1FF6"/>
    <w:rsid w:val="007A3E63"/>
    <w:rsid w:val="007A63BE"/>
    <w:rsid w:val="007B367C"/>
    <w:rsid w:val="007B6DF9"/>
    <w:rsid w:val="007B7CA1"/>
    <w:rsid w:val="007C1285"/>
    <w:rsid w:val="007C2763"/>
    <w:rsid w:val="007C3DF9"/>
    <w:rsid w:val="007C596F"/>
    <w:rsid w:val="007C64BA"/>
    <w:rsid w:val="007C7D13"/>
    <w:rsid w:val="007D2553"/>
    <w:rsid w:val="007D265C"/>
    <w:rsid w:val="007D6E66"/>
    <w:rsid w:val="007D6FAB"/>
    <w:rsid w:val="007E078E"/>
    <w:rsid w:val="007E128E"/>
    <w:rsid w:val="007E189F"/>
    <w:rsid w:val="007E26AF"/>
    <w:rsid w:val="007E6C9D"/>
    <w:rsid w:val="007E74E7"/>
    <w:rsid w:val="007E7CCC"/>
    <w:rsid w:val="007F02E3"/>
    <w:rsid w:val="007F449E"/>
    <w:rsid w:val="007F5F04"/>
    <w:rsid w:val="007F62B1"/>
    <w:rsid w:val="007F7CAD"/>
    <w:rsid w:val="007F7DA2"/>
    <w:rsid w:val="00802088"/>
    <w:rsid w:val="008029F1"/>
    <w:rsid w:val="008037EF"/>
    <w:rsid w:val="0080426C"/>
    <w:rsid w:val="00804EB5"/>
    <w:rsid w:val="00805B6A"/>
    <w:rsid w:val="00807C96"/>
    <w:rsid w:val="00811D26"/>
    <w:rsid w:val="008209F7"/>
    <w:rsid w:val="00820D8B"/>
    <w:rsid w:val="00820E7C"/>
    <w:rsid w:val="008240AD"/>
    <w:rsid w:val="00824457"/>
    <w:rsid w:val="00824800"/>
    <w:rsid w:val="00827F9F"/>
    <w:rsid w:val="00830020"/>
    <w:rsid w:val="00832B6B"/>
    <w:rsid w:val="0083318C"/>
    <w:rsid w:val="008367C2"/>
    <w:rsid w:val="00840D08"/>
    <w:rsid w:val="00850881"/>
    <w:rsid w:val="008509A9"/>
    <w:rsid w:val="00850E93"/>
    <w:rsid w:val="00853487"/>
    <w:rsid w:val="008536ED"/>
    <w:rsid w:val="00854A30"/>
    <w:rsid w:val="00854ABE"/>
    <w:rsid w:val="00855303"/>
    <w:rsid w:val="00855DBC"/>
    <w:rsid w:val="0086176E"/>
    <w:rsid w:val="00861C18"/>
    <w:rsid w:val="008661D1"/>
    <w:rsid w:val="00870834"/>
    <w:rsid w:val="008727CD"/>
    <w:rsid w:val="00873AEE"/>
    <w:rsid w:val="00876B99"/>
    <w:rsid w:val="00877BCF"/>
    <w:rsid w:val="00880635"/>
    <w:rsid w:val="008841BD"/>
    <w:rsid w:val="0088572D"/>
    <w:rsid w:val="008869F4"/>
    <w:rsid w:val="00890541"/>
    <w:rsid w:val="008909DB"/>
    <w:rsid w:val="008910AC"/>
    <w:rsid w:val="008952C3"/>
    <w:rsid w:val="0089535A"/>
    <w:rsid w:val="008965A1"/>
    <w:rsid w:val="00897A97"/>
    <w:rsid w:val="008A0E65"/>
    <w:rsid w:val="008A285B"/>
    <w:rsid w:val="008A3B78"/>
    <w:rsid w:val="008A5118"/>
    <w:rsid w:val="008A6A96"/>
    <w:rsid w:val="008B0D6A"/>
    <w:rsid w:val="008B2A50"/>
    <w:rsid w:val="008B41A2"/>
    <w:rsid w:val="008C0E0C"/>
    <w:rsid w:val="008C2C85"/>
    <w:rsid w:val="008C3AB2"/>
    <w:rsid w:val="008C443D"/>
    <w:rsid w:val="008C4730"/>
    <w:rsid w:val="008C4BD7"/>
    <w:rsid w:val="008C4F7E"/>
    <w:rsid w:val="008C5532"/>
    <w:rsid w:val="008C5D8F"/>
    <w:rsid w:val="008C6F35"/>
    <w:rsid w:val="008C73D3"/>
    <w:rsid w:val="008D1BB8"/>
    <w:rsid w:val="008D21F1"/>
    <w:rsid w:val="008D55CA"/>
    <w:rsid w:val="008E02C9"/>
    <w:rsid w:val="008E083A"/>
    <w:rsid w:val="008E0958"/>
    <w:rsid w:val="008E0A82"/>
    <w:rsid w:val="008E0E90"/>
    <w:rsid w:val="008E139E"/>
    <w:rsid w:val="008E39E4"/>
    <w:rsid w:val="008E5382"/>
    <w:rsid w:val="008E7137"/>
    <w:rsid w:val="008F13ED"/>
    <w:rsid w:val="008F18BA"/>
    <w:rsid w:val="008F7A0E"/>
    <w:rsid w:val="00900866"/>
    <w:rsid w:val="009058D0"/>
    <w:rsid w:val="00911176"/>
    <w:rsid w:val="00911FA0"/>
    <w:rsid w:val="00915915"/>
    <w:rsid w:val="00916FEE"/>
    <w:rsid w:val="00921F05"/>
    <w:rsid w:val="0092387C"/>
    <w:rsid w:val="009248AD"/>
    <w:rsid w:val="00926303"/>
    <w:rsid w:val="0093082D"/>
    <w:rsid w:val="00934D94"/>
    <w:rsid w:val="009355EC"/>
    <w:rsid w:val="0093665D"/>
    <w:rsid w:val="0093758E"/>
    <w:rsid w:val="009416B4"/>
    <w:rsid w:val="009424EE"/>
    <w:rsid w:val="00946DAC"/>
    <w:rsid w:val="009501F2"/>
    <w:rsid w:val="00951CA3"/>
    <w:rsid w:val="00954AA7"/>
    <w:rsid w:val="00956799"/>
    <w:rsid w:val="00962C55"/>
    <w:rsid w:val="00962CBD"/>
    <w:rsid w:val="009635ED"/>
    <w:rsid w:val="00964B4B"/>
    <w:rsid w:val="00966F00"/>
    <w:rsid w:val="00971EDA"/>
    <w:rsid w:val="009760AD"/>
    <w:rsid w:val="00977C58"/>
    <w:rsid w:val="00977FC2"/>
    <w:rsid w:val="009804CC"/>
    <w:rsid w:val="00981C3A"/>
    <w:rsid w:val="00985579"/>
    <w:rsid w:val="00986B3B"/>
    <w:rsid w:val="009914B6"/>
    <w:rsid w:val="00997E40"/>
    <w:rsid w:val="009A2D5A"/>
    <w:rsid w:val="009A3BB6"/>
    <w:rsid w:val="009A3FD9"/>
    <w:rsid w:val="009A418B"/>
    <w:rsid w:val="009A6974"/>
    <w:rsid w:val="009A79A6"/>
    <w:rsid w:val="009A7D7D"/>
    <w:rsid w:val="009B0CF2"/>
    <w:rsid w:val="009B13B6"/>
    <w:rsid w:val="009B177B"/>
    <w:rsid w:val="009B1E79"/>
    <w:rsid w:val="009B2158"/>
    <w:rsid w:val="009B26A5"/>
    <w:rsid w:val="009B354A"/>
    <w:rsid w:val="009B35BF"/>
    <w:rsid w:val="009B6888"/>
    <w:rsid w:val="009C0264"/>
    <w:rsid w:val="009C0473"/>
    <w:rsid w:val="009C2759"/>
    <w:rsid w:val="009C39AC"/>
    <w:rsid w:val="009C6D1D"/>
    <w:rsid w:val="009D0743"/>
    <w:rsid w:val="009D0C26"/>
    <w:rsid w:val="009D19E8"/>
    <w:rsid w:val="009D3CE0"/>
    <w:rsid w:val="009D6231"/>
    <w:rsid w:val="009E142B"/>
    <w:rsid w:val="009E3725"/>
    <w:rsid w:val="009E3BA6"/>
    <w:rsid w:val="009E50A2"/>
    <w:rsid w:val="009E5A4A"/>
    <w:rsid w:val="009E611B"/>
    <w:rsid w:val="009F1C79"/>
    <w:rsid w:val="009F2DFB"/>
    <w:rsid w:val="009F3607"/>
    <w:rsid w:val="009F3BCA"/>
    <w:rsid w:val="009F4813"/>
    <w:rsid w:val="009F4C06"/>
    <w:rsid w:val="00A010E2"/>
    <w:rsid w:val="00A03E91"/>
    <w:rsid w:val="00A062B4"/>
    <w:rsid w:val="00A075DD"/>
    <w:rsid w:val="00A076A1"/>
    <w:rsid w:val="00A10963"/>
    <w:rsid w:val="00A113F1"/>
    <w:rsid w:val="00A12DAC"/>
    <w:rsid w:val="00A13727"/>
    <w:rsid w:val="00A148E6"/>
    <w:rsid w:val="00A17DE3"/>
    <w:rsid w:val="00A2049E"/>
    <w:rsid w:val="00A20D2A"/>
    <w:rsid w:val="00A23494"/>
    <w:rsid w:val="00A23831"/>
    <w:rsid w:val="00A268B6"/>
    <w:rsid w:val="00A26C3F"/>
    <w:rsid w:val="00A26E42"/>
    <w:rsid w:val="00A2744E"/>
    <w:rsid w:val="00A2768F"/>
    <w:rsid w:val="00A30227"/>
    <w:rsid w:val="00A307EA"/>
    <w:rsid w:val="00A34550"/>
    <w:rsid w:val="00A3475C"/>
    <w:rsid w:val="00A34836"/>
    <w:rsid w:val="00A35306"/>
    <w:rsid w:val="00A3607B"/>
    <w:rsid w:val="00A378CD"/>
    <w:rsid w:val="00A403D5"/>
    <w:rsid w:val="00A41D5D"/>
    <w:rsid w:val="00A44E9D"/>
    <w:rsid w:val="00A45804"/>
    <w:rsid w:val="00A4649E"/>
    <w:rsid w:val="00A47129"/>
    <w:rsid w:val="00A502F4"/>
    <w:rsid w:val="00A5163C"/>
    <w:rsid w:val="00A52C1C"/>
    <w:rsid w:val="00A52F56"/>
    <w:rsid w:val="00A535EE"/>
    <w:rsid w:val="00A55E11"/>
    <w:rsid w:val="00A6059C"/>
    <w:rsid w:val="00A610F9"/>
    <w:rsid w:val="00A64CC8"/>
    <w:rsid w:val="00A7078A"/>
    <w:rsid w:val="00A711D2"/>
    <w:rsid w:val="00A728E2"/>
    <w:rsid w:val="00A72CDC"/>
    <w:rsid w:val="00A7314E"/>
    <w:rsid w:val="00A74F64"/>
    <w:rsid w:val="00A759CE"/>
    <w:rsid w:val="00A77A24"/>
    <w:rsid w:val="00A82E13"/>
    <w:rsid w:val="00A87466"/>
    <w:rsid w:val="00A874D8"/>
    <w:rsid w:val="00A87A36"/>
    <w:rsid w:val="00A91344"/>
    <w:rsid w:val="00A954EA"/>
    <w:rsid w:val="00A96C02"/>
    <w:rsid w:val="00A97ACC"/>
    <w:rsid w:val="00A97C01"/>
    <w:rsid w:val="00AA3C86"/>
    <w:rsid w:val="00AB1B67"/>
    <w:rsid w:val="00AB27BD"/>
    <w:rsid w:val="00AB32BF"/>
    <w:rsid w:val="00AB4BD1"/>
    <w:rsid w:val="00AB5D5C"/>
    <w:rsid w:val="00AB74EC"/>
    <w:rsid w:val="00AC473A"/>
    <w:rsid w:val="00AC690B"/>
    <w:rsid w:val="00AC6DC7"/>
    <w:rsid w:val="00AD1147"/>
    <w:rsid w:val="00AD1CD2"/>
    <w:rsid w:val="00AD2400"/>
    <w:rsid w:val="00AD7DD3"/>
    <w:rsid w:val="00AE4E5B"/>
    <w:rsid w:val="00AE6043"/>
    <w:rsid w:val="00AF095E"/>
    <w:rsid w:val="00AF1D79"/>
    <w:rsid w:val="00AF42F7"/>
    <w:rsid w:val="00AF5F25"/>
    <w:rsid w:val="00AF7708"/>
    <w:rsid w:val="00B00A0E"/>
    <w:rsid w:val="00B029A6"/>
    <w:rsid w:val="00B033F0"/>
    <w:rsid w:val="00B04014"/>
    <w:rsid w:val="00B04E7B"/>
    <w:rsid w:val="00B04FA9"/>
    <w:rsid w:val="00B05934"/>
    <w:rsid w:val="00B05B0D"/>
    <w:rsid w:val="00B05BE5"/>
    <w:rsid w:val="00B06EAF"/>
    <w:rsid w:val="00B13C96"/>
    <w:rsid w:val="00B141C1"/>
    <w:rsid w:val="00B15065"/>
    <w:rsid w:val="00B17657"/>
    <w:rsid w:val="00B2231F"/>
    <w:rsid w:val="00B24C9D"/>
    <w:rsid w:val="00B25528"/>
    <w:rsid w:val="00B25920"/>
    <w:rsid w:val="00B301E1"/>
    <w:rsid w:val="00B30CB9"/>
    <w:rsid w:val="00B31307"/>
    <w:rsid w:val="00B31408"/>
    <w:rsid w:val="00B322D0"/>
    <w:rsid w:val="00B329D6"/>
    <w:rsid w:val="00B331E4"/>
    <w:rsid w:val="00B36B98"/>
    <w:rsid w:val="00B371BA"/>
    <w:rsid w:val="00B41033"/>
    <w:rsid w:val="00B42D61"/>
    <w:rsid w:val="00B43522"/>
    <w:rsid w:val="00B43E53"/>
    <w:rsid w:val="00B455E1"/>
    <w:rsid w:val="00B4661A"/>
    <w:rsid w:val="00B475EE"/>
    <w:rsid w:val="00B47C04"/>
    <w:rsid w:val="00B52A89"/>
    <w:rsid w:val="00B54D2F"/>
    <w:rsid w:val="00B55853"/>
    <w:rsid w:val="00B55B50"/>
    <w:rsid w:val="00B55DB8"/>
    <w:rsid w:val="00B5648E"/>
    <w:rsid w:val="00B56B45"/>
    <w:rsid w:val="00B574ED"/>
    <w:rsid w:val="00B57D0F"/>
    <w:rsid w:val="00B60902"/>
    <w:rsid w:val="00B60D8A"/>
    <w:rsid w:val="00B613FE"/>
    <w:rsid w:val="00B61701"/>
    <w:rsid w:val="00B61A99"/>
    <w:rsid w:val="00B62798"/>
    <w:rsid w:val="00B70A87"/>
    <w:rsid w:val="00B77994"/>
    <w:rsid w:val="00B80649"/>
    <w:rsid w:val="00B806D4"/>
    <w:rsid w:val="00B80B97"/>
    <w:rsid w:val="00B82814"/>
    <w:rsid w:val="00B82DE8"/>
    <w:rsid w:val="00B82FF5"/>
    <w:rsid w:val="00B838B0"/>
    <w:rsid w:val="00B875B8"/>
    <w:rsid w:val="00B91F56"/>
    <w:rsid w:val="00B93504"/>
    <w:rsid w:val="00B9502C"/>
    <w:rsid w:val="00BA0EFA"/>
    <w:rsid w:val="00BA12B8"/>
    <w:rsid w:val="00BA1485"/>
    <w:rsid w:val="00BA25B7"/>
    <w:rsid w:val="00BA3889"/>
    <w:rsid w:val="00BA495D"/>
    <w:rsid w:val="00BB227F"/>
    <w:rsid w:val="00BB3F10"/>
    <w:rsid w:val="00BC0AB6"/>
    <w:rsid w:val="00BC1FBD"/>
    <w:rsid w:val="00BC31DA"/>
    <w:rsid w:val="00BC341A"/>
    <w:rsid w:val="00BC377C"/>
    <w:rsid w:val="00BC4036"/>
    <w:rsid w:val="00BC507F"/>
    <w:rsid w:val="00BC70C1"/>
    <w:rsid w:val="00BD6843"/>
    <w:rsid w:val="00BE084A"/>
    <w:rsid w:val="00BE3F08"/>
    <w:rsid w:val="00BE44BB"/>
    <w:rsid w:val="00BE5E34"/>
    <w:rsid w:val="00BF0396"/>
    <w:rsid w:val="00BF307C"/>
    <w:rsid w:val="00BF4655"/>
    <w:rsid w:val="00BF54CB"/>
    <w:rsid w:val="00BF6E3B"/>
    <w:rsid w:val="00BF7CAE"/>
    <w:rsid w:val="00C02C5C"/>
    <w:rsid w:val="00C02FD4"/>
    <w:rsid w:val="00C03D8C"/>
    <w:rsid w:val="00C06E4C"/>
    <w:rsid w:val="00C07A62"/>
    <w:rsid w:val="00C102C8"/>
    <w:rsid w:val="00C11BF9"/>
    <w:rsid w:val="00C12123"/>
    <w:rsid w:val="00C12C7A"/>
    <w:rsid w:val="00C12F2B"/>
    <w:rsid w:val="00C1498B"/>
    <w:rsid w:val="00C14AE8"/>
    <w:rsid w:val="00C16B27"/>
    <w:rsid w:val="00C17880"/>
    <w:rsid w:val="00C30B70"/>
    <w:rsid w:val="00C327DB"/>
    <w:rsid w:val="00C32A8B"/>
    <w:rsid w:val="00C32C3D"/>
    <w:rsid w:val="00C35690"/>
    <w:rsid w:val="00C35DC2"/>
    <w:rsid w:val="00C35E16"/>
    <w:rsid w:val="00C362A5"/>
    <w:rsid w:val="00C36533"/>
    <w:rsid w:val="00C36771"/>
    <w:rsid w:val="00C36C0F"/>
    <w:rsid w:val="00C40F6B"/>
    <w:rsid w:val="00C425E0"/>
    <w:rsid w:val="00C442D0"/>
    <w:rsid w:val="00C4638D"/>
    <w:rsid w:val="00C46CF6"/>
    <w:rsid w:val="00C523BC"/>
    <w:rsid w:val="00C534FD"/>
    <w:rsid w:val="00C54654"/>
    <w:rsid w:val="00C55299"/>
    <w:rsid w:val="00C57346"/>
    <w:rsid w:val="00C57C0A"/>
    <w:rsid w:val="00C61B9E"/>
    <w:rsid w:val="00C620B7"/>
    <w:rsid w:val="00C637AA"/>
    <w:rsid w:val="00C649FC"/>
    <w:rsid w:val="00C67030"/>
    <w:rsid w:val="00C703B0"/>
    <w:rsid w:val="00C71132"/>
    <w:rsid w:val="00C7246E"/>
    <w:rsid w:val="00C750EB"/>
    <w:rsid w:val="00C75E05"/>
    <w:rsid w:val="00C76D2A"/>
    <w:rsid w:val="00C970C2"/>
    <w:rsid w:val="00CA2ACD"/>
    <w:rsid w:val="00CA2F7D"/>
    <w:rsid w:val="00CA39E2"/>
    <w:rsid w:val="00CA7847"/>
    <w:rsid w:val="00CB056D"/>
    <w:rsid w:val="00CB0C5B"/>
    <w:rsid w:val="00CB1794"/>
    <w:rsid w:val="00CB45FD"/>
    <w:rsid w:val="00CB4EE6"/>
    <w:rsid w:val="00CB6A85"/>
    <w:rsid w:val="00CC2491"/>
    <w:rsid w:val="00CC2666"/>
    <w:rsid w:val="00CC2A3E"/>
    <w:rsid w:val="00CC3643"/>
    <w:rsid w:val="00CC4262"/>
    <w:rsid w:val="00CC6830"/>
    <w:rsid w:val="00CC743C"/>
    <w:rsid w:val="00CD066D"/>
    <w:rsid w:val="00CD31EF"/>
    <w:rsid w:val="00CD3BCB"/>
    <w:rsid w:val="00CD4AFF"/>
    <w:rsid w:val="00CD6854"/>
    <w:rsid w:val="00CE658F"/>
    <w:rsid w:val="00CE6D62"/>
    <w:rsid w:val="00CF35E0"/>
    <w:rsid w:val="00CF497A"/>
    <w:rsid w:val="00CF4A2B"/>
    <w:rsid w:val="00CF51B8"/>
    <w:rsid w:val="00CF57C1"/>
    <w:rsid w:val="00CF6F59"/>
    <w:rsid w:val="00D017C8"/>
    <w:rsid w:val="00D07454"/>
    <w:rsid w:val="00D14EC5"/>
    <w:rsid w:val="00D21A2F"/>
    <w:rsid w:val="00D22EB0"/>
    <w:rsid w:val="00D24982"/>
    <w:rsid w:val="00D24BC6"/>
    <w:rsid w:val="00D26721"/>
    <w:rsid w:val="00D26F0D"/>
    <w:rsid w:val="00D27386"/>
    <w:rsid w:val="00D30722"/>
    <w:rsid w:val="00D30C78"/>
    <w:rsid w:val="00D30FCF"/>
    <w:rsid w:val="00D316D5"/>
    <w:rsid w:val="00D31E1F"/>
    <w:rsid w:val="00D36B7A"/>
    <w:rsid w:val="00D40531"/>
    <w:rsid w:val="00D40678"/>
    <w:rsid w:val="00D40F59"/>
    <w:rsid w:val="00D42586"/>
    <w:rsid w:val="00D47C45"/>
    <w:rsid w:val="00D507FB"/>
    <w:rsid w:val="00D5149C"/>
    <w:rsid w:val="00D51ED0"/>
    <w:rsid w:val="00D55AF4"/>
    <w:rsid w:val="00D56DDE"/>
    <w:rsid w:val="00D63F04"/>
    <w:rsid w:val="00D6432C"/>
    <w:rsid w:val="00D66CB0"/>
    <w:rsid w:val="00D70CC9"/>
    <w:rsid w:val="00D73ED1"/>
    <w:rsid w:val="00D73F34"/>
    <w:rsid w:val="00D76310"/>
    <w:rsid w:val="00D7638D"/>
    <w:rsid w:val="00D76D7B"/>
    <w:rsid w:val="00D806DC"/>
    <w:rsid w:val="00D8121A"/>
    <w:rsid w:val="00D836C2"/>
    <w:rsid w:val="00D85D0F"/>
    <w:rsid w:val="00D91082"/>
    <w:rsid w:val="00D94B13"/>
    <w:rsid w:val="00D979A2"/>
    <w:rsid w:val="00DA44D9"/>
    <w:rsid w:val="00DA636B"/>
    <w:rsid w:val="00DA68B5"/>
    <w:rsid w:val="00DB01B0"/>
    <w:rsid w:val="00DB3B33"/>
    <w:rsid w:val="00DB3B94"/>
    <w:rsid w:val="00DB50D0"/>
    <w:rsid w:val="00DB5FEA"/>
    <w:rsid w:val="00DC1AD5"/>
    <w:rsid w:val="00DC3838"/>
    <w:rsid w:val="00DC4633"/>
    <w:rsid w:val="00DC5C0D"/>
    <w:rsid w:val="00DC636A"/>
    <w:rsid w:val="00DD1318"/>
    <w:rsid w:val="00DD160A"/>
    <w:rsid w:val="00DD23F2"/>
    <w:rsid w:val="00DD5C86"/>
    <w:rsid w:val="00DD7FF8"/>
    <w:rsid w:val="00DE0546"/>
    <w:rsid w:val="00DE4408"/>
    <w:rsid w:val="00DF14A4"/>
    <w:rsid w:val="00DF3491"/>
    <w:rsid w:val="00DF45E6"/>
    <w:rsid w:val="00DF4B71"/>
    <w:rsid w:val="00E01BF3"/>
    <w:rsid w:val="00E029D6"/>
    <w:rsid w:val="00E059E0"/>
    <w:rsid w:val="00E06EF3"/>
    <w:rsid w:val="00E1016E"/>
    <w:rsid w:val="00E10942"/>
    <w:rsid w:val="00E146B6"/>
    <w:rsid w:val="00E20088"/>
    <w:rsid w:val="00E209C7"/>
    <w:rsid w:val="00E23114"/>
    <w:rsid w:val="00E25517"/>
    <w:rsid w:val="00E260A9"/>
    <w:rsid w:val="00E268A0"/>
    <w:rsid w:val="00E31C9D"/>
    <w:rsid w:val="00E3391A"/>
    <w:rsid w:val="00E33C73"/>
    <w:rsid w:val="00E37743"/>
    <w:rsid w:val="00E37DC4"/>
    <w:rsid w:val="00E40A60"/>
    <w:rsid w:val="00E45598"/>
    <w:rsid w:val="00E533A8"/>
    <w:rsid w:val="00E54EDE"/>
    <w:rsid w:val="00E55A8F"/>
    <w:rsid w:val="00E56D91"/>
    <w:rsid w:val="00E56E8D"/>
    <w:rsid w:val="00E57A12"/>
    <w:rsid w:val="00E57E60"/>
    <w:rsid w:val="00E603D1"/>
    <w:rsid w:val="00E60AD1"/>
    <w:rsid w:val="00E60C94"/>
    <w:rsid w:val="00E61964"/>
    <w:rsid w:val="00E63F61"/>
    <w:rsid w:val="00E71C6D"/>
    <w:rsid w:val="00E730D4"/>
    <w:rsid w:val="00E81FD6"/>
    <w:rsid w:val="00E855D2"/>
    <w:rsid w:val="00E8746A"/>
    <w:rsid w:val="00E94002"/>
    <w:rsid w:val="00E9534A"/>
    <w:rsid w:val="00E9558C"/>
    <w:rsid w:val="00E97011"/>
    <w:rsid w:val="00EA0E4B"/>
    <w:rsid w:val="00EA1109"/>
    <w:rsid w:val="00EA1F46"/>
    <w:rsid w:val="00EA376A"/>
    <w:rsid w:val="00EA5953"/>
    <w:rsid w:val="00EA6699"/>
    <w:rsid w:val="00EA70DE"/>
    <w:rsid w:val="00EB0503"/>
    <w:rsid w:val="00EB3A42"/>
    <w:rsid w:val="00EB4F3D"/>
    <w:rsid w:val="00EB6C78"/>
    <w:rsid w:val="00EC0643"/>
    <w:rsid w:val="00EC086F"/>
    <w:rsid w:val="00EC1E17"/>
    <w:rsid w:val="00ED1D76"/>
    <w:rsid w:val="00ED32CC"/>
    <w:rsid w:val="00ED4FB9"/>
    <w:rsid w:val="00ED57B4"/>
    <w:rsid w:val="00EE0D83"/>
    <w:rsid w:val="00EE1B57"/>
    <w:rsid w:val="00EE2BB8"/>
    <w:rsid w:val="00EE3EBB"/>
    <w:rsid w:val="00EE535F"/>
    <w:rsid w:val="00EE5EC4"/>
    <w:rsid w:val="00EE6B98"/>
    <w:rsid w:val="00EE7F69"/>
    <w:rsid w:val="00EF210E"/>
    <w:rsid w:val="00EF3A37"/>
    <w:rsid w:val="00EF4794"/>
    <w:rsid w:val="00EF4E30"/>
    <w:rsid w:val="00EF564C"/>
    <w:rsid w:val="00EF6ED9"/>
    <w:rsid w:val="00F00C78"/>
    <w:rsid w:val="00F03B57"/>
    <w:rsid w:val="00F04435"/>
    <w:rsid w:val="00F11ABA"/>
    <w:rsid w:val="00F12F95"/>
    <w:rsid w:val="00F13562"/>
    <w:rsid w:val="00F15D9A"/>
    <w:rsid w:val="00F213D4"/>
    <w:rsid w:val="00F227F5"/>
    <w:rsid w:val="00F2461D"/>
    <w:rsid w:val="00F26DAA"/>
    <w:rsid w:val="00F302C7"/>
    <w:rsid w:val="00F35116"/>
    <w:rsid w:val="00F35F46"/>
    <w:rsid w:val="00F36075"/>
    <w:rsid w:val="00F43097"/>
    <w:rsid w:val="00F47923"/>
    <w:rsid w:val="00F47D42"/>
    <w:rsid w:val="00F53BBD"/>
    <w:rsid w:val="00F56753"/>
    <w:rsid w:val="00F57255"/>
    <w:rsid w:val="00F57D2D"/>
    <w:rsid w:val="00F60FE7"/>
    <w:rsid w:val="00F61837"/>
    <w:rsid w:val="00F665FB"/>
    <w:rsid w:val="00F70DE1"/>
    <w:rsid w:val="00F71A22"/>
    <w:rsid w:val="00F72596"/>
    <w:rsid w:val="00F8712F"/>
    <w:rsid w:val="00F92EAF"/>
    <w:rsid w:val="00F937E2"/>
    <w:rsid w:val="00F94EFB"/>
    <w:rsid w:val="00F964B6"/>
    <w:rsid w:val="00FA05E5"/>
    <w:rsid w:val="00FA1AB6"/>
    <w:rsid w:val="00FA2693"/>
    <w:rsid w:val="00FA2CDF"/>
    <w:rsid w:val="00FA3F2C"/>
    <w:rsid w:val="00FA5A87"/>
    <w:rsid w:val="00FA73A0"/>
    <w:rsid w:val="00FA7F3A"/>
    <w:rsid w:val="00FB0F90"/>
    <w:rsid w:val="00FB1155"/>
    <w:rsid w:val="00FB1AAE"/>
    <w:rsid w:val="00FB2D2A"/>
    <w:rsid w:val="00FB5C87"/>
    <w:rsid w:val="00FB6157"/>
    <w:rsid w:val="00FB7D4F"/>
    <w:rsid w:val="00FC4446"/>
    <w:rsid w:val="00FC60F4"/>
    <w:rsid w:val="00FC7824"/>
    <w:rsid w:val="00FD1C58"/>
    <w:rsid w:val="00FD28AA"/>
    <w:rsid w:val="00FD2BDF"/>
    <w:rsid w:val="00FD4F51"/>
    <w:rsid w:val="00FE0F80"/>
    <w:rsid w:val="00FE44CA"/>
    <w:rsid w:val="00FE5B6E"/>
    <w:rsid w:val="00FE77B0"/>
    <w:rsid w:val="00FF0B58"/>
    <w:rsid w:val="00FF2C20"/>
    <w:rsid w:val="00FF33FA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3B5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90A"/>
    <w:pPr>
      <w:spacing w:before="100" w:beforeAutospacing="1" w:after="100" w:afterAutospacing="1" w:line="360" w:lineRule="auto"/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2666"/>
    <w:pPr>
      <w:keepNext/>
      <w:keepLines/>
      <w:spacing w:before="4440" w:beforeAutospacing="0"/>
      <w:jc w:val="center"/>
      <w:outlineLvl w:val="0"/>
    </w:pPr>
    <w:rPr>
      <w:rFonts w:ascii="JohnSans Text Pro" w:eastAsiaTheme="majorEastAsia" w:hAnsi="JohnSans Text Pro" w:cs="Arial"/>
      <w:b/>
      <w:bCs/>
      <w:noProof/>
      <w:color w:val="284C96"/>
      <w:sz w:val="56"/>
      <w:szCs w:val="4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CC2666"/>
    <w:pPr>
      <w:pBdr>
        <w:bottom w:val="thinThickSmallGap" w:sz="12" w:space="1" w:color="284C96"/>
      </w:pBdr>
      <w:spacing w:before="360" w:beforeAutospacing="0" w:after="240" w:afterAutospacing="0"/>
      <w:jc w:val="left"/>
      <w:outlineLvl w:val="1"/>
    </w:pPr>
    <w:rPr>
      <w:rFonts w:ascii="JohnSans Text Pro" w:eastAsiaTheme="minorHAnsi" w:hAnsi="JohnSans Text Pro"/>
      <w:b/>
      <w:color w:val="284C96"/>
      <w:sz w:val="36"/>
      <w:szCs w:val="32"/>
    </w:rPr>
  </w:style>
  <w:style w:type="paragraph" w:styleId="Nadpis3">
    <w:name w:val="heading 3"/>
    <w:basedOn w:val="Normln"/>
    <w:next w:val="Normln"/>
    <w:link w:val="Nadpis3Char"/>
    <w:qFormat/>
    <w:rsid w:val="005B695F"/>
    <w:pPr>
      <w:outlineLvl w:val="2"/>
    </w:pPr>
    <w:rPr>
      <w:rFonts w:ascii="JohnSans Text Pro" w:hAnsi="JohnSans Text Pro"/>
      <w:b/>
      <w:color w:val="284C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36075"/>
    <w:rPr>
      <w:rFonts w:ascii="Times New Roman" w:eastAsia="Calibri" w:hAnsi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CC2666"/>
    <w:rPr>
      <w:rFonts w:ascii="JohnSans Text Pro" w:eastAsiaTheme="majorEastAsia" w:hAnsi="JohnSans Text Pro" w:cs="Arial"/>
      <w:b/>
      <w:bCs/>
      <w:noProof/>
      <w:color w:val="284C96"/>
      <w:sz w:val="56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C2666"/>
    <w:rPr>
      <w:rFonts w:ascii="JohnSans Text Pro" w:eastAsiaTheme="minorHAnsi" w:hAnsi="JohnSans Text Pro"/>
      <w:b/>
      <w:color w:val="284C96"/>
      <w:sz w:val="36"/>
      <w:szCs w:val="32"/>
      <w:lang w:eastAsia="en-US"/>
    </w:rPr>
  </w:style>
  <w:style w:type="paragraph" w:customStyle="1" w:styleId="Odstavecseseznamem1">
    <w:name w:val="Odstavec se seznamem1"/>
    <w:basedOn w:val="Normln"/>
    <w:rsid w:val="00FF33FA"/>
    <w:pPr>
      <w:ind w:left="720"/>
    </w:pPr>
  </w:style>
  <w:style w:type="character" w:styleId="Odkaznakoment">
    <w:name w:val="annotation reference"/>
    <w:basedOn w:val="Standardnpsmoodstavce"/>
    <w:semiHidden/>
    <w:rsid w:val="00FF33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F3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FF33F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FF3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FF33F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F3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FF33F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9B21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locked/>
    <w:rsid w:val="009B2158"/>
    <w:rPr>
      <w:rFonts w:cs="Times New Roman"/>
    </w:rPr>
  </w:style>
  <w:style w:type="paragraph" w:styleId="Zpat">
    <w:name w:val="footer"/>
    <w:basedOn w:val="Normln"/>
    <w:link w:val="ZpatChar"/>
    <w:uiPriority w:val="99"/>
    <w:rsid w:val="009B21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9B2158"/>
    <w:rPr>
      <w:rFonts w:cs="Times New Roman"/>
    </w:rPr>
  </w:style>
  <w:style w:type="paragraph" w:styleId="Podnadpis">
    <w:name w:val="Subtitle"/>
    <w:basedOn w:val="Normln"/>
    <w:next w:val="Normln"/>
    <w:link w:val="PodnadpisChar"/>
    <w:qFormat/>
    <w:rsid w:val="00CC2666"/>
    <w:pPr>
      <w:numPr>
        <w:ilvl w:val="1"/>
      </w:numPr>
      <w:spacing w:after="0" w:afterAutospacing="0"/>
      <w:ind w:firstLine="284"/>
      <w:jc w:val="center"/>
    </w:pPr>
    <w:rPr>
      <w:rFonts w:eastAsia="Calibri"/>
      <w:iCs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locked/>
    <w:rsid w:val="00CC2666"/>
    <w:rPr>
      <w:rFonts w:asciiTheme="minorHAnsi" w:hAnsiTheme="minorHAnsi"/>
      <w:iCs/>
      <w:spacing w:val="15"/>
      <w:sz w:val="28"/>
      <w:szCs w:val="28"/>
      <w:lang w:eastAsia="en-US"/>
    </w:rPr>
  </w:style>
  <w:style w:type="character" w:styleId="Hypertextovodkaz">
    <w:name w:val="Hyperlink"/>
    <w:basedOn w:val="Standardnpsmoodstavce"/>
    <w:rsid w:val="00547B85"/>
    <w:rPr>
      <w:rFonts w:cs="Times New Roman"/>
      <w:color w:val="0563C1"/>
      <w:u w:val="single"/>
    </w:rPr>
  </w:style>
  <w:style w:type="paragraph" w:customStyle="1" w:styleId="Bezmezer1">
    <w:name w:val="Bez mezer1"/>
    <w:rsid w:val="00234784"/>
    <w:rPr>
      <w:rFonts w:eastAsia="Times New Roman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locked/>
    <w:rsid w:val="005B695F"/>
    <w:rPr>
      <w:rFonts w:ascii="JohnSans Text Pro" w:eastAsia="Times New Roman" w:hAnsi="JohnSans Text Pro"/>
      <w:b/>
      <w:color w:val="284C96"/>
      <w:sz w:val="24"/>
      <w:szCs w:val="24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C57C0A"/>
    <w:pPr>
      <w:ind w:left="720"/>
    </w:pPr>
  </w:style>
  <w:style w:type="paragraph" w:styleId="Textpoznpodarou">
    <w:name w:val="footnote text"/>
    <w:basedOn w:val="Normln"/>
    <w:link w:val="TextpoznpodarouChar"/>
    <w:uiPriority w:val="99"/>
    <w:rsid w:val="00330ED8"/>
    <w:pPr>
      <w:spacing w:before="30" w:beforeAutospacing="0" w:after="0" w:afterAutospacing="0"/>
    </w:pPr>
    <w:rPr>
      <w:rFonts w:eastAsiaTheme="minorHAnsi" w:cstheme="minorBidi"/>
      <w:sz w:val="17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30ED8"/>
    <w:rPr>
      <w:rFonts w:ascii="Arial" w:eastAsiaTheme="minorHAnsi" w:hAnsi="Arial" w:cstheme="minorBidi"/>
      <w:sz w:val="17"/>
      <w:lang w:eastAsia="en-US"/>
    </w:rPr>
  </w:style>
  <w:style w:type="character" w:styleId="Znakapoznpodarou">
    <w:name w:val="footnote reference"/>
    <w:aliases w:val="EN Footnote Reference,Footnote symbol,Times 10 Point,Exposant 3 Point, Exposant 3 Point,Footnote reference number,Ref,de nota al pie,note TESI,SUPERS,EN Footnote text,Footnote Reference_LVL6,Footnote Reference_LVL61,fr"/>
    <w:basedOn w:val="Standardnpsmoodstavce"/>
    <w:uiPriority w:val="99"/>
    <w:unhideWhenUsed/>
    <w:rsid w:val="00330ED8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"/>
    <w:basedOn w:val="Standardnpsmoodstavce"/>
    <w:link w:val="Odstavecseseznamem"/>
    <w:uiPriority w:val="99"/>
    <w:rsid w:val="00330ED8"/>
    <w:rPr>
      <w:rFonts w:asciiTheme="minorHAnsi" w:eastAsia="Times New Roman" w:hAnsiTheme="minorHAnsi"/>
      <w:sz w:val="24"/>
      <w:szCs w:val="24"/>
      <w:lang w:eastAsia="en-US"/>
    </w:rPr>
  </w:style>
  <w:style w:type="character" w:customStyle="1" w:styleId="st">
    <w:name w:val="st"/>
    <w:basedOn w:val="Standardnpsmoodstavce"/>
    <w:rsid w:val="00330ED8"/>
  </w:style>
  <w:style w:type="character" w:styleId="Zdraznn">
    <w:name w:val="Emphasis"/>
    <w:basedOn w:val="Standardnpsmoodstavce"/>
    <w:uiPriority w:val="20"/>
    <w:qFormat/>
    <w:locked/>
    <w:rsid w:val="00330ED8"/>
    <w:rPr>
      <w:i/>
      <w:iCs/>
    </w:rPr>
  </w:style>
  <w:style w:type="paragraph" w:styleId="Revize">
    <w:name w:val="Revision"/>
    <w:hidden/>
    <w:uiPriority w:val="99"/>
    <w:semiHidden/>
    <w:rsid w:val="00BF7CAE"/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Default">
    <w:name w:val="Default"/>
    <w:rsid w:val="00ED32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semiHidden/>
    <w:unhideWhenUsed/>
    <w:rsid w:val="00384A64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rsid w:val="0038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rodnikonven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AC78-195D-4265-96E8-E72B9910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2713</Words>
  <Characters>15892</Characters>
  <Application>Microsoft Office Word</Application>
  <DocSecurity>0</DocSecurity>
  <Lines>132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2022-05-06T12:03:00Z</dcterms:created>
  <dcterms:modified xsi:type="dcterms:W3CDTF">2022-05-06T13:51:00Z</dcterms:modified>
</cp:coreProperties>
</file>