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5E4F" w14:textId="77777777" w:rsidR="003963AB" w:rsidRPr="00EB59BC" w:rsidRDefault="003963AB" w:rsidP="003963AB">
      <w:pPr>
        <w:jc w:val="center"/>
        <w:rPr>
          <w:rFonts w:ascii="Arial" w:hAnsi="Arial" w:cs="Arial"/>
          <w:bCs/>
          <w:sz w:val="44"/>
          <w:szCs w:val="44"/>
          <w:lang w:val="cs-CZ"/>
        </w:rPr>
      </w:pPr>
      <w:r w:rsidRPr="00EB59BC">
        <w:rPr>
          <w:rFonts w:ascii="Arial" w:hAnsi="Arial" w:cs="Arial"/>
          <w:b/>
          <w:bCs/>
          <w:sz w:val="44"/>
          <w:szCs w:val="44"/>
          <w:lang w:val="cs-CZ"/>
        </w:rPr>
        <w:t xml:space="preserve">Podkladový dokument ke kulatému stolu Národního konventu o EU na téma </w:t>
      </w:r>
    </w:p>
    <w:p w14:paraId="285BBA84" w14:textId="040214B8" w:rsidR="003963AB" w:rsidRPr="00EB59BC" w:rsidRDefault="003963AB" w:rsidP="003963AB">
      <w:pPr>
        <w:jc w:val="center"/>
        <w:rPr>
          <w:rFonts w:ascii="Arial" w:hAnsi="Arial" w:cs="Arial"/>
          <w:b/>
          <w:bCs/>
          <w:sz w:val="44"/>
          <w:szCs w:val="44"/>
          <w:lang w:val="cs-CZ"/>
        </w:rPr>
      </w:pPr>
      <w:r w:rsidRPr="00EB59BC">
        <w:rPr>
          <w:rFonts w:ascii="Arial" w:hAnsi="Arial" w:cs="Arial"/>
          <w:b/>
          <w:bCs/>
          <w:sz w:val="44"/>
          <w:szCs w:val="44"/>
          <w:lang w:val="cs-CZ"/>
        </w:rPr>
        <w:t xml:space="preserve">„Přínosy a rizika globalizace pro obchod </w:t>
      </w:r>
      <w:r w:rsidR="003B7D14" w:rsidRPr="00EB59BC">
        <w:rPr>
          <w:rFonts w:ascii="Arial" w:hAnsi="Arial" w:cs="Arial"/>
          <w:b/>
          <w:bCs/>
          <w:sz w:val="44"/>
          <w:szCs w:val="44"/>
          <w:lang w:val="cs-CZ"/>
        </w:rPr>
        <w:br/>
      </w:r>
      <w:r w:rsidRPr="00EB59BC">
        <w:rPr>
          <w:rFonts w:ascii="Arial" w:hAnsi="Arial" w:cs="Arial"/>
          <w:b/>
          <w:bCs/>
          <w:sz w:val="44"/>
          <w:szCs w:val="44"/>
          <w:lang w:val="cs-CZ"/>
        </w:rPr>
        <w:t>a investice“</w:t>
      </w:r>
    </w:p>
    <w:p w14:paraId="620F2E2C" w14:textId="77777777" w:rsidR="003963AB" w:rsidRPr="00EB59BC" w:rsidRDefault="003963AB" w:rsidP="003963AB">
      <w:pPr>
        <w:jc w:val="center"/>
        <w:rPr>
          <w:rFonts w:ascii="Arial" w:hAnsi="Arial" w:cs="Arial"/>
          <w:bCs/>
          <w:sz w:val="16"/>
          <w:szCs w:val="44"/>
          <w:lang w:val="cs-CZ"/>
        </w:rPr>
      </w:pPr>
    </w:p>
    <w:p w14:paraId="7B6B2E1D" w14:textId="77777777" w:rsidR="003963AB" w:rsidRPr="00EB59BC" w:rsidRDefault="003963AB" w:rsidP="003963AB">
      <w:pPr>
        <w:jc w:val="center"/>
        <w:rPr>
          <w:rFonts w:ascii="Arial" w:hAnsi="Arial" w:cs="Arial"/>
          <w:sz w:val="18"/>
          <w:lang w:val="cs-CZ"/>
        </w:rPr>
      </w:pPr>
      <w:r w:rsidRPr="00EB59BC">
        <w:rPr>
          <w:rFonts w:ascii="Arial" w:hAnsi="Arial" w:cs="Arial"/>
          <w:bCs/>
          <w:sz w:val="32"/>
          <w:szCs w:val="44"/>
          <w:lang w:val="cs-CZ"/>
        </w:rPr>
        <w:t>8. prosince 2017, Lichtenštejnský palác</w:t>
      </w:r>
    </w:p>
    <w:p w14:paraId="59D51076" w14:textId="77777777" w:rsidR="003963AB" w:rsidRPr="00EB59BC" w:rsidRDefault="003963AB" w:rsidP="003963AB">
      <w:pPr>
        <w:pStyle w:val="Default"/>
        <w:rPr>
          <w:rFonts w:ascii="Arial" w:hAnsi="Arial" w:cs="Arial"/>
          <w:sz w:val="16"/>
        </w:rPr>
      </w:pPr>
    </w:p>
    <w:p w14:paraId="5DE55781" w14:textId="77777777" w:rsidR="003963AB" w:rsidRPr="005C6407" w:rsidRDefault="003963AB" w:rsidP="003963AB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5C6407">
        <w:rPr>
          <w:rFonts w:ascii="Arial" w:hAnsi="Arial" w:cs="Arial"/>
          <w:sz w:val="22"/>
          <w:szCs w:val="22"/>
        </w:rPr>
        <w:t>Václav Šmejkal, Stanislav Šaroch</w:t>
      </w:r>
    </w:p>
    <w:p w14:paraId="350935BD" w14:textId="77777777" w:rsidR="003963AB" w:rsidRPr="00EB59BC" w:rsidRDefault="003963AB" w:rsidP="003963AB">
      <w:pPr>
        <w:pStyle w:val="Default"/>
        <w:ind w:left="2880"/>
        <w:rPr>
          <w:rFonts w:ascii="Arial" w:hAnsi="Arial" w:cs="Arial"/>
        </w:rPr>
      </w:pPr>
    </w:p>
    <w:p w14:paraId="3D5F5BE4" w14:textId="77777777" w:rsidR="003963AB" w:rsidRPr="00EB59BC" w:rsidRDefault="003963AB" w:rsidP="003963AB">
      <w:pPr>
        <w:pStyle w:val="Default"/>
        <w:rPr>
          <w:sz w:val="8"/>
        </w:rPr>
      </w:pPr>
    </w:p>
    <w:p w14:paraId="0E551791" w14:textId="77777777" w:rsidR="003963AB" w:rsidRPr="00EB59BC" w:rsidRDefault="003963AB" w:rsidP="003963AB">
      <w:pPr>
        <w:pStyle w:val="Default"/>
        <w:rPr>
          <w:rFonts w:ascii="Arial" w:hAnsi="Arial" w:cs="Arial"/>
        </w:rPr>
      </w:pPr>
      <w:r w:rsidRPr="00EB59BC">
        <w:rPr>
          <w:rFonts w:ascii="Arial" w:hAnsi="Arial" w:cs="Arial"/>
          <w:b/>
          <w:bCs/>
          <w:sz w:val="32"/>
          <w:szCs w:val="32"/>
        </w:rPr>
        <w:t>Úvod</w:t>
      </w:r>
    </w:p>
    <w:p w14:paraId="5008BF73" w14:textId="7A246598" w:rsidR="003963AB" w:rsidRPr="005C6407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Tento dokument je rozdělen do </w:t>
      </w:r>
      <w:r w:rsidRPr="005C6407">
        <w:rPr>
          <w:rFonts w:ascii="Arial" w:hAnsi="Arial" w:cs="Arial"/>
          <w:b/>
          <w:sz w:val="22"/>
          <w:szCs w:val="22"/>
          <w:lang w:val="cs-CZ" w:eastAsia="cs-CZ"/>
        </w:rPr>
        <w:t>tří částí</w:t>
      </w:r>
      <w:r w:rsidRPr="005C6407">
        <w:rPr>
          <w:rFonts w:ascii="Arial" w:hAnsi="Arial" w:cs="Arial"/>
          <w:sz w:val="22"/>
          <w:szCs w:val="22"/>
          <w:lang w:val="cs-CZ" w:eastAsia="cs-CZ"/>
        </w:rPr>
        <w:t>. V první části se</w:t>
      </w:r>
      <w:r w:rsidR="00EB59BC" w:rsidRPr="005C6407">
        <w:rPr>
          <w:rFonts w:ascii="Arial" w:hAnsi="Arial" w:cs="Arial"/>
          <w:sz w:val="22"/>
          <w:szCs w:val="22"/>
          <w:lang w:val="cs-CZ" w:eastAsia="cs-CZ"/>
        </w:rPr>
        <w:t xml:space="preserve"> zaměřuje na dosavadní limity a </w:t>
      </w:r>
      <w:r w:rsidRPr="005C6407">
        <w:rPr>
          <w:rFonts w:ascii="Arial" w:hAnsi="Arial" w:cs="Arial"/>
          <w:sz w:val="22"/>
          <w:szCs w:val="22"/>
          <w:lang w:val="cs-CZ" w:eastAsia="cs-CZ"/>
        </w:rPr>
        <w:t>omezení společného trhu, v části druhé předev</w:t>
      </w:r>
      <w:r w:rsidR="00EB59BC" w:rsidRPr="005C6407">
        <w:rPr>
          <w:rFonts w:ascii="Arial" w:hAnsi="Arial" w:cs="Arial"/>
          <w:sz w:val="22"/>
          <w:szCs w:val="22"/>
          <w:lang w:val="cs-CZ" w:eastAsia="cs-CZ"/>
        </w:rPr>
        <w:t>ším na nastavení investičních a </w:t>
      </w:r>
      <w:r w:rsidRPr="005C6407">
        <w:rPr>
          <w:rFonts w:ascii="Arial" w:hAnsi="Arial" w:cs="Arial"/>
          <w:sz w:val="22"/>
          <w:szCs w:val="22"/>
          <w:lang w:val="cs-CZ" w:eastAsia="cs-CZ"/>
        </w:rPr>
        <w:t>obchodních vztahů EU se „zbytkem světa“, ve třetí části se pak soustředí na možnosti po</w:t>
      </w:r>
      <w:r w:rsidR="00500A12">
        <w:rPr>
          <w:rFonts w:ascii="Arial" w:hAnsi="Arial" w:cs="Arial"/>
          <w:sz w:val="22"/>
          <w:szCs w:val="22"/>
          <w:lang w:val="cs-CZ" w:eastAsia="cs-CZ"/>
        </w:rPr>
        <w:t>sílení vnější reprezentace EU a </w:t>
      </w:r>
      <w:r w:rsidRPr="005C6407">
        <w:rPr>
          <w:rFonts w:ascii="Arial" w:hAnsi="Arial" w:cs="Arial"/>
          <w:sz w:val="22"/>
          <w:szCs w:val="22"/>
          <w:lang w:val="cs-CZ" w:eastAsia="cs-CZ"/>
        </w:rPr>
        <w:t>eurozóny v mezinárodních organizacích a fórech se zvláštním zřetelem na záměr mít vlastní křeslo v Mezinárodním měnovém fondu.</w:t>
      </w:r>
    </w:p>
    <w:p w14:paraId="7AA5808E" w14:textId="62126799" w:rsidR="003963AB" w:rsidRPr="005C6407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t>Svobodný obchod a volný pohyb výrobních faktorů mezi trhy skýtají možnost vyšší ekonomické efektivnosti a růst hranice spotřebních možností pro každou ze zúčastněných ekonomik. Jen dostatečně velký trh – a takovým může být jednotný trh EU – má potenciál konkurovat trhům jiných velkých hráčů, jako je Čína či USA z hlediska míry výnosů z rozsahu, atraktivnosti pro velké investice a podobně. Skutečný jednotný trh vyžaduje ale nutně jednotné parametry a dobře fungu</w:t>
      </w:r>
      <w:r w:rsidR="00EB59BC" w:rsidRPr="005C6407">
        <w:rPr>
          <w:rFonts w:ascii="Arial" w:hAnsi="Arial" w:cs="Arial"/>
          <w:sz w:val="22"/>
          <w:szCs w:val="22"/>
          <w:lang w:val="cs-CZ" w:eastAsia="cs-CZ"/>
        </w:rPr>
        <w:t>jící podnikatelské prostředí. V </w:t>
      </w:r>
      <w:r w:rsidRPr="005C6407">
        <w:rPr>
          <w:rFonts w:ascii="Arial" w:hAnsi="Arial" w:cs="Arial"/>
          <w:sz w:val="22"/>
          <w:szCs w:val="22"/>
          <w:lang w:val="cs-CZ" w:eastAsia="cs-CZ"/>
        </w:rPr>
        <w:t>celé řadě oblastí efektivnosti trhu má dosud EU velké rezervy.</w:t>
      </w:r>
    </w:p>
    <w:p w14:paraId="3A41C95D" w14:textId="476EB67F" w:rsidR="003963AB" w:rsidRPr="005C6407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Neméně důležitá je úprava obchodních a investičních vztahů EU se zbytkem světa. Zde dochází v posledním roce k významnému pohybu. Proto se materiál ve své druhé části zaměřuje na vývoj v oblasti obchodních a investičních dohod uzavíraných EU z hlediska dělby pravomocí mezi EU a členské státy ve světle čerstvé judikatury </w:t>
      </w:r>
      <w:r w:rsidR="00EB59BC" w:rsidRPr="005C6407">
        <w:rPr>
          <w:rFonts w:ascii="Arial" w:hAnsi="Arial" w:cs="Arial"/>
          <w:sz w:val="22"/>
          <w:szCs w:val="22"/>
          <w:lang w:val="cs-CZ" w:eastAsia="cs-CZ"/>
        </w:rPr>
        <w:t>Soudního dvora EU (SD EU)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, konkrétně </w:t>
      </w:r>
      <w:r w:rsidRPr="005C6407">
        <w:rPr>
          <w:rFonts w:ascii="Arial" w:hAnsi="Arial" w:cs="Arial"/>
          <w:sz w:val="22"/>
          <w:szCs w:val="22"/>
          <w:lang w:val="cs-CZ"/>
        </w:rPr>
        <w:t xml:space="preserve">posudku 2/15 vydaného v květnu 2017 plénem </w:t>
      </w:r>
      <w:r w:rsidR="00EB59BC" w:rsidRPr="005C6407">
        <w:rPr>
          <w:rFonts w:ascii="Arial" w:hAnsi="Arial" w:cs="Arial"/>
          <w:sz w:val="22"/>
          <w:szCs w:val="22"/>
          <w:lang w:val="cs-CZ"/>
        </w:rPr>
        <w:t>SD</w:t>
      </w:r>
      <w:r w:rsidRPr="005C6407">
        <w:rPr>
          <w:rFonts w:ascii="Arial" w:hAnsi="Arial" w:cs="Arial"/>
          <w:sz w:val="22"/>
          <w:szCs w:val="22"/>
          <w:lang w:val="cs-CZ"/>
        </w:rPr>
        <w:t xml:space="preserve"> EU</w:t>
      </w:r>
      <w:r w:rsidR="00D244EF" w:rsidRPr="005C6407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"/>
      </w:r>
      <w:r w:rsidRPr="005C6407">
        <w:rPr>
          <w:rFonts w:ascii="Arial" w:hAnsi="Arial" w:cs="Arial"/>
          <w:sz w:val="22"/>
          <w:szCs w:val="22"/>
          <w:lang w:val="cs-CZ"/>
        </w:rPr>
        <w:t xml:space="preserve"> k obdobně kompl</w:t>
      </w:r>
      <w:r w:rsidR="00500A12">
        <w:rPr>
          <w:rFonts w:ascii="Arial" w:hAnsi="Arial" w:cs="Arial"/>
          <w:sz w:val="22"/>
          <w:szCs w:val="22"/>
          <w:lang w:val="cs-CZ"/>
        </w:rPr>
        <w:t>exní dohodě vyjednané mezi EU a </w:t>
      </w:r>
      <w:r w:rsidRPr="005C6407">
        <w:rPr>
          <w:rFonts w:ascii="Arial" w:hAnsi="Arial" w:cs="Arial"/>
          <w:sz w:val="22"/>
          <w:szCs w:val="22"/>
          <w:lang w:val="cs-CZ"/>
        </w:rPr>
        <w:t>Singapurem.</w:t>
      </w:r>
    </w:p>
    <w:p w14:paraId="4A8F880D" w14:textId="77777777" w:rsidR="00D244EF" w:rsidRPr="005C6407" w:rsidRDefault="003963AB" w:rsidP="00D244EF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5C6407">
        <w:rPr>
          <w:rFonts w:ascii="Arial" w:hAnsi="Arial" w:cs="Arial"/>
          <w:sz w:val="22"/>
          <w:szCs w:val="22"/>
          <w:lang w:val="cs-CZ"/>
        </w:rPr>
        <w:t>Ve třetí části se materiál zaměřuje na posílení vnější role EU prostřednictvím navrhovaných reforem jejího zastoupení v mezinárodních organizacích. Zejména se jedná o zastoupení v Mezinárodním měnovém fondu a zhodnocení zastoupení v několika dalších mezinárodních organizacích a fórech.</w:t>
      </w:r>
    </w:p>
    <w:p w14:paraId="464C86CE" w14:textId="5EE190C3" w:rsidR="003963AB" w:rsidRPr="00EB59BC" w:rsidRDefault="003963AB" w:rsidP="00D244EF">
      <w:pPr>
        <w:pStyle w:val="Normlnywebov"/>
        <w:jc w:val="both"/>
        <w:outlineLvl w:val="0"/>
        <w:rPr>
          <w:rFonts w:ascii="Arial" w:hAnsi="Arial" w:cs="Arial"/>
          <w:lang w:val="cs-CZ"/>
        </w:rPr>
      </w:pPr>
      <w:r w:rsidRPr="00EB59BC">
        <w:rPr>
          <w:rFonts w:ascii="Arial" w:hAnsi="Arial" w:cs="Arial"/>
          <w:b/>
          <w:bCs/>
          <w:sz w:val="32"/>
          <w:szCs w:val="32"/>
          <w:lang w:val="cs-CZ"/>
        </w:rPr>
        <w:t xml:space="preserve">Silné a slabé stránky </w:t>
      </w:r>
      <w:r w:rsidR="00876F3D" w:rsidRPr="00EB59BC">
        <w:rPr>
          <w:rFonts w:ascii="Arial" w:hAnsi="Arial" w:cs="Arial"/>
          <w:b/>
          <w:bCs/>
          <w:sz w:val="32"/>
          <w:szCs w:val="32"/>
          <w:lang w:val="cs-CZ"/>
        </w:rPr>
        <w:t xml:space="preserve">vnitřního </w:t>
      </w:r>
      <w:r w:rsidRPr="00EB59BC">
        <w:rPr>
          <w:rFonts w:ascii="Arial" w:hAnsi="Arial" w:cs="Arial"/>
          <w:b/>
          <w:bCs/>
          <w:sz w:val="32"/>
          <w:szCs w:val="32"/>
          <w:lang w:val="cs-CZ"/>
        </w:rPr>
        <w:t>trhu</w:t>
      </w:r>
    </w:p>
    <w:p w14:paraId="4E67FBA3" w14:textId="6A130AD4" w:rsidR="00970D38" w:rsidRPr="005C6407" w:rsidRDefault="00876F3D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Materiální základnou evropské integrace a jejím trvalým prioritním cílem (viz čl. 3 odst. 3 SEU) je </w:t>
      </w:r>
      <w:r w:rsidRPr="00DB0820">
        <w:rPr>
          <w:rFonts w:ascii="Arial" w:hAnsi="Arial" w:cs="Arial"/>
          <w:b/>
          <w:sz w:val="22"/>
          <w:szCs w:val="22"/>
          <w:lang w:val="cs-CZ" w:eastAsia="cs-CZ"/>
        </w:rPr>
        <w:t>fungující vnitřní trh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. Jeho dobudování či rozvoj je i nezbytnou prioritou všech po sobě jdoucích </w:t>
      </w:r>
      <w:r w:rsidRPr="005C6407">
        <w:rPr>
          <w:rFonts w:ascii="Arial" w:hAnsi="Arial" w:cs="Arial"/>
          <w:sz w:val="22"/>
          <w:szCs w:val="22"/>
          <w:lang w:val="cs-CZ" w:eastAsia="cs-CZ"/>
        </w:rPr>
        <w:lastRenderedPageBreak/>
        <w:t>půlročních předsednictví. V současné době (tj. za předsednict</w:t>
      </w:r>
      <w:r w:rsidR="00C03CCC">
        <w:rPr>
          <w:rFonts w:ascii="Arial" w:hAnsi="Arial" w:cs="Arial"/>
          <w:sz w:val="22"/>
          <w:szCs w:val="22"/>
          <w:lang w:val="cs-CZ" w:eastAsia="cs-CZ"/>
        </w:rPr>
        <w:t>ví „Tria“ Estonska, Bulharska a 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Rakouska) 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>se za hlavní úkoly považuje vytvoření jednotnéh</w:t>
      </w:r>
      <w:r w:rsidR="00C03CCC">
        <w:rPr>
          <w:rFonts w:ascii="Arial" w:hAnsi="Arial" w:cs="Arial"/>
          <w:sz w:val="22"/>
          <w:szCs w:val="22"/>
          <w:lang w:val="cs-CZ" w:eastAsia="cs-CZ"/>
        </w:rPr>
        <w:t>o digitálního trhu, moderního a 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 xml:space="preserve">udržitelného dopravního systému, ale i podstatně tradičně znějící odstranění zbývajících bariér volnému pohybu zboží a služeb nebo boj s daňovými úniky a zajištění efektivního zdanění. Nikdo tedy nemůže tvrdit, že by vnitřní trh byl v rámci EU dokončen nebo těsně před dokončením. </w:t>
      </w:r>
    </w:p>
    <w:p w14:paraId="00DC5B5D" w14:textId="0BBC275B" w:rsidR="003963AB" w:rsidRPr="005C6407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DB0820">
        <w:rPr>
          <w:rFonts w:ascii="Arial" w:hAnsi="Arial" w:cs="Arial"/>
          <w:b/>
          <w:sz w:val="22"/>
          <w:szCs w:val="22"/>
          <w:lang w:val="cs-CZ" w:eastAsia="cs-CZ"/>
        </w:rPr>
        <w:t>Propracovanou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DB0820">
        <w:rPr>
          <w:rFonts w:ascii="Arial" w:hAnsi="Arial" w:cs="Arial"/>
          <w:b/>
          <w:sz w:val="22"/>
          <w:szCs w:val="22"/>
          <w:lang w:val="cs-CZ" w:eastAsia="cs-CZ"/>
        </w:rPr>
        <w:t>a trh opravdu jednotící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 je </w:t>
      </w:r>
      <w:r w:rsidRPr="00DB0820">
        <w:rPr>
          <w:rFonts w:ascii="Arial" w:hAnsi="Arial" w:cs="Arial"/>
          <w:sz w:val="22"/>
          <w:szCs w:val="22"/>
          <w:lang w:val="cs-CZ" w:eastAsia="cs-CZ"/>
        </w:rPr>
        <w:t>soutěžní politika</w:t>
      </w:r>
      <w:r w:rsidR="00970D38" w:rsidRPr="00DB0820">
        <w:rPr>
          <w:rFonts w:ascii="Arial" w:hAnsi="Arial" w:cs="Arial"/>
          <w:sz w:val="22"/>
          <w:szCs w:val="22"/>
          <w:lang w:val="cs-CZ" w:eastAsia="cs-CZ"/>
        </w:rPr>
        <w:t xml:space="preserve"> EU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, kde doménou místních </w:t>
      </w:r>
      <w:r w:rsidRPr="00DB0820">
        <w:rPr>
          <w:rFonts w:ascii="Arial" w:hAnsi="Arial" w:cs="Arial"/>
          <w:sz w:val="22"/>
          <w:szCs w:val="22"/>
          <w:lang w:val="cs-CZ" w:eastAsia="cs-CZ"/>
        </w:rPr>
        <w:t>regulátorů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 jsou skutečně pouze lokální kauzy hospodářské soutěže, nepřesahující hranice členského státu a vše ostatní je doménou 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>do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hledu 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 xml:space="preserve">svěřeného do výlučné </w:t>
      </w:r>
      <w:r w:rsidR="00431470" w:rsidRPr="005C6407">
        <w:rPr>
          <w:rFonts w:ascii="Arial" w:hAnsi="Arial" w:cs="Arial"/>
          <w:sz w:val="22"/>
          <w:szCs w:val="22"/>
          <w:lang w:val="cs-CZ" w:eastAsia="cs-CZ"/>
        </w:rPr>
        <w:t>pravomoci EU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. 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 xml:space="preserve">Dostatečně 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efektivně funguje 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 xml:space="preserve">i 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volný pohyb zboží, kde si EU kromě odbourání tarifních překážek vedle společných technických norem vyvinula i princip vzájemného uznávání technické způsobilosti dle norem národních. Větší </w:t>
      </w:r>
      <w:r w:rsidRPr="00DB0820">
        <w:rPr>
          <w:rFonts w:ascii="Arial" w:hAnsi="Arial" w:cs="Arial"/>
          <w:b/>
          <w:sz w:val="22"/>
          <w:szCs w:val="22"/>
          <w:lang w:val="cs-CZ" w:eastAsia="cs-CZ"/>
        </w:rPr>
        <w:t>bariéry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DB0820">
        <w:rPr>
          <w:rFonts w:ascii="Arial" w:hAnsi="Arial" w:cs="Arial"/>
          <w:b/>
          <w:sz w:val="22"/>
          <w:szCs w:val="22"/>
          <w:lang w:val="cs-CZ" w:eastAsia="cs-CZ"/>
        </w:rPr>
        <w:t>dosud existují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 na trhu služeb</w:t>
      </w:r>
      <w:r w:rsidR="00DB0820">
        <w:rPr>
          <w:rFonts w:ascii="Arial" w:hAnsi="Arial" w:cs="Arial"/>
          <w:sz w:val="22"/>
          <w:szCs w:val="22"/>
          <w:lang w:val="cs-CZ" w:eastAsia="cs-CZ"/>
        </w:rPr>
        <w:t>, a to zejména v 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 xml:space="preserve">oblastech citlivých pro veřejný pořádek, sociální smír, </w:t>
      </w:r>
      <w:r w:rsidR="002631FB">
        <w:rPr>
          <w:rFonts w:ascii="Arial" w:hAnsi="Arial" w:cs="Arial"/>
          <w:sz w:val="22"/>
          <w:szCs w:val="22"/>
          <w:lang w:val="cs-CZ" w:eastAsia="cs-CZ"/>
        </w:rPr>
        <w:t>soudržnost fiskálního dohledu a </w:t>
      </w:r>
      <w:r w:rsidR="00970D38" w:rsidRPr="005C6407">
        <w:rPr>
          <w:rFonts w:ascii="Arial" w:hAnsi="Arial" w:cs="Arial"/>
          <w:sz w:val="22"/>
          <w:szCs w:val="22"/>
          <w:lang w:val="cs-CZ" w:eastAsia="cs-CZ"/>
        </w:rPr>
        <w:t xml:space="preserve">sociálního zabezpečení jednotlivých členských států. Dostatečně známou ilustrací je obtížné hledání konsenzu nad revizí směrnice 96/71 o vysílání zaměstnanců ve službách (známé zavedení principu „stejná odměna za stejnou práci na stejném místě“), kde Rada nakonec dosáhla shody v říjnu </w:t>
      </w:r>
      <w:r w:rsidR="00431470" w:rsidRPr="005C6407">
        <w:rPr>
          <w:rFonts w:ascii="Arial" w:hAnsi="Arial" w:cs="Arial"/>
          <w:sz w:val="22"/>
          <w:szCs w:val="22"/>
          <w:lang w:val="cs-CZ" w:eastAsia="cs-CZ"/>
        </w:rPr>
        <w:t>t. r.</w:t>
      </w:r>
    </w:p>
    <w:p w14:paraId="20A9C00D" w14:textId="2C3742E9" w:rsidR="003963AB" w:rsidRPr="005C6407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Z hlediska mikroekonomické (alokační) efektivnosti a využití úspor z rozsahu je evropský trh dosud limitován rozdílnou úrovní nepřímých i přímých daní. Daň z přidané hodnoty je ve svých sazbách dosud pouze pásmově harmonizována, existuje řada mimoekonomicky zdůvodňovaných odlišností v oblasti spotřebních daní (např. na tabákové výrobky, alkohol, motorová paliva), které na druhé straně vytvářejí určité limity pro svobodný pohyb zboží. Rozdílné sazby spotřebních daní ale v konečném důsledku nemají takový potenciál deformovat mikroekonomickou efektivnost investic, jako rozdíly v daních z příjmů, </w:t>
      </w:r>
      <w:r w:rsidR="00223189">
        <w:rPr>
          <w:rFonts w:ascii="Arial" w:hAnsi="Arial" w:cs="Arial"/>
          <w:b/>
          <w:sz w:val="22"/>
          <w:szCs w:val="22"/>
          <w:lang w:val="cs-CZ" w:eastAsia="cs-CZ"/>
        </w:rPr>
        <w:t>zejména v sazbách a </w:t>
      </w:r>
      <w:r w:rsidRPr="005C6407">
        <w:rPr>
          <w:rFonts w:ascii="Arial" w:hAnsi="Arial" w:cs="Arial"/>
          <w:b/>
          <w:sz w:val="22"/>
          <w:szCs w:val="22"/>
          <w:lang w:val="cs-CZ" w:eastAsia="cs-CZ"/>
        </w:rPr>
        <w:t>základu korporátní daně z příjmu</w:t>
      </w:r>
      <w:r w:rsidRPr="005C6407">
        <w:rPr>
          <w:rFonts w:ascii="Arial" w:hAnsi="Arial" w:cs="Arial"/>
          <w:sz w:val="22"/>
          <w:szCs w:val="22"/>
          <w:lang w:val="cs-CZ" w:eastAsia="cs-CZ"/>
        </w:rPr>
        <w:t>. V okamžiku, kdy si členské země v rámci EU konkurují přírodními podmínkami, infrastrukturou, kvalifikací (ale i cenou) pracovní síly, kvalitou právního prostředí atd. není důvod, aby si konkurovaly i rozdílnými efektivními sazbami korporátní daně nebo dokonce daňovými prázdninami. Umožnění tohoto typu konkurence vytváří nežádoucí pobí</w:t>
      </w:r>
      <w:r w:rsidR="00EB59BC" w:rsidRPr="005C6407">
        <w:rPr>
          <w:rFonts w:ascii="Arial" w:hAnsi="Arial" w:cs="Arial"/>
          <w:sz w:val="22"/>
          <w:szCs w:val="22"/>
          <w:lang w:val="cs-CZ" w:eastAsia="cs-CZ"/>
        </w:rPr>
        <w:t>dky pro tzv. „závody ke dnu“ a </w:t>
      </w:r>
      <w:r w:rsidRPr="005C6407">
        <w:rPr>
          <w:rFonts w:ascii="Arial" w:hAnsi="Arial" w:cs="Arial"/>
          <w:sz w:val="22"/>
          <w:szCs w:val="22"/>
          <w:lang w:val="cs-CZ" w:eastAsia="cs-CZ"/>
        </w:rPr>
        <w:t>v důsledku toho existence tzv. daňových rájů. Investiční prostředí na společném trhu je rozdílnými sazbami daně z příjmu deformováno. I když v rámci politik EU je v tomto směru vyvíjena řada iniciativ –</w:t>
      </w:r>
      <w:r w:rsidR="003B7D14" w:rsidRPr="005C640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5C6407">
        <w:rPr>
          <w:rFonts w:ascii="Arial" w:hAnsi="Arial" w:cs="Arial"/>
          <w:sz w:val="22"/>
          <w:szCs w:val="22"/>
          <w:lang w:val="cs-CZ" w:eastAsia="cs-CZ"/>
        </w:rPr>
        <w:t>např. snaha o harmonizaci daňového základu či tažení</w:t>
      </w:r>
      <w:r w:rsidR="003B7D14" w:rsidRPr="005C640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5C6407">
        <w:rPr>
          <w:rFonts w:ascii="Arial" w:hAnsi="Arial" w:cs="Arial"/>
          <w:sz w:val="22"/>
          <w:szCs w:val="22"/>
          <w:lang w:val="cs-CZ" w:eastAsia="cs-CZ"/>
        </w:rPr>
        <w:t>proti daňovým rájům, je otázkou, zda efektivnost takových opatření nevyžaduje spíše úsilí, koordinované nejen na úrovni EU, ale i širších fór, jako jsou G20 nebo WTO.</w:t>
      </w:r>
      <w:r w:rsidR="00D244EF" w:rsidRPr="005C6407">
        <w:rPr>
          <w:rStyle w:val="Odkaznapoznmkupodiarou"/>
          <w:rFonts w:ascii="Arial" w:hAnsi="Arial" w:cs="Arial"/>
          <w:sz w:val="22"/>
          <w:szCs w:val="22"/>
          <w:lang w:val="cs-CZ" w:eastAsia="cs-CZ"/>
        </w:rPr>
        <w:footnoteReference w:id="2"/>
      </w:r>
    </w:p>
    <w:p w14:paraId="5D4DB9CA" w14:textId="043566F7" w:rsidR="003963AB" w:rsidRPr="005C6407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t>Nejednotnost ve zdanění se promítá i do rozdílů ve významnosti hlavních daňových příjmů ve vybraných státech EU. Přehled těchto rozdílů přinášejí následující tabulky:</w:t>
      </w:r>
    </w:p>
    <w:p w14:paraId="6AB994DE" w14:textId="77777777" w:rsidR="009F1572" w:rsidRPr="00EB59BC" w:rsidRDefault="009F1572" w:rsidP="003963AB">
      <w:pPr>
        <w:rPr>
          <w:rFonts w:ascii="Arial" w:hAnsi="Arial" w:cs="Arial"/>
          <w:b/>
          <w:bCs/>
          <w:lang w:val="cs-CZ"/>
        </w:rPr>
        <w:sectPr w:rsidR="009F1572" w:rsidRPr="00EB59BC" w:rsidSect="003B7D14">
          <w:headerReference w:type="default" r:id="rId8"/>
          <w:footerReference w:type="default" r:id="rId9"/>
          <w:pgSz w:w="12240" w:h="15840"/>
          <w:pgMar w:top="907" w:right="1440" w:bottom="1304" w:left="1440" w:header="794" w:footer="720" w:gutter="0"/>
          <w:cols w:space="720"/>
          <w:docGrid w:linePitch="360"/>
        </w:sectPr>
      </w:pPr>
    </w:p>
    <w:p w14:paraId="62F23353" w14:textId="77777777" w:rsidR="005C6407" w:rsidRDefault="005C6407" w:rsidP="003963AB">
      <w:pPr>
        <w:rPr>
          <w:rFonts w:ascii="Arial" w:hAnsi="Arial" w:cs="Arial"/>
          <w:b/>
          <w:bCs/>
          <w:lang w:val="cs-CZ"/>
        </w:rPr>
      </w:pPr>
    </w:p>
    <w:p w14:paraId="53B43269" w14:textId="77777777" w:rsidR="005C6407" w:rsidRDefault="005C6407" w:rsidP="003963AB">
      <w:pPr>
        <w:rPr>
          <w:rFonts w:ascii="Arial" w:hAnsi="Arial" w:cs="Arial"/>
          <w:b/>
          <w:bCs/>
          <w:lang w:val="cs-CZ"/>
        </w:rPr>
      </w:pPr>
    </w:p>
    <w:p w14:paraId="37B248DD" w14:textId="77777777" w:rsidR="005C6407" w:rsidRDefault="005C6407" w:rsidP="003963AB">
      <w:pPr>
        <w:rPr>
          <w:rFonts w:ascii="Arial" w:hAnsi="Arial" w:cs="Arial"/>
          <w:b/>
          <w:bCs/>
          <w:lang w:val="cs-CZ"/>
        </w:rPr>
      </w:pPr>
    </w:p>
    <w:p w14:paraId="547DEF24" w14:textId="77777777" w:rsidR="005C6407" w:rsidRDefault="005C6407" w:rsidP="003963AB">
      <w:pPr>
        <w:rPr>
          <w:rFonts w:ascii="Arial" w:hAnsi="Arial" w:cs="Arial"/>
          <w:b/>
          <w:bCs/>
          <w:lang w:val="cs-CZ"/>
        </w:rPr>
      </w:pPr>
    </w:p>
    <w:p w14:paraId="10BC7229" w14:textId="77777777" w:rsidR="005C6407" w:rsidRDefault="005C6407" w:rsidP="003963AB">
      <w:pPr>
        <w:rPr>
          <w:rFonts w:ascii="Arial" w:hAnsi="Arial" w:cs="Arial"/>
          <w:b/>
          <w:bCs/>
          <w:lang w:val="cs-CZ"/>
        </w:rPr>
      </w:pPr>
    </w:p>
    <w:p w14:paraId="74618C4F" w14:textId="77777777" w:rsidR="005C6407" w:rsidRDefault="005C6407" w:rsidP="003963AB">
      <w:pPr>
        <w:rPr>
          <w:rFonts w:ascii="Arial" w:hAnsi="Arial" w:cs="Arial"/>
          <w:b/>
          <w:bCs/>
          <w:lang w:val="cs-CZ"/>
        </w:rPr>
      </w:pPr>
    </w:p>
    <w:p w14:paraId="56ED9FF8" w14:textId="77777777" w:rsidR="005C6407" w:rsidRDefault="005C6407" w:rsidP="003963AB">
      <w:pPr>
        <w:rPr>
          <w:rFonts w:ascii="Arial" w:hAnsi="Arial" w:cs="Arial"/>
          <w:b/>
          <w:bCs/>
          <w:lang w:val="cs-CZ"/>
        </w:rPr>
      </w:pPr>
    </w:p>
    <w:p w14:paraId="3036431D" w14:textId="77777777" w:rsidR="005C6407" w:rsidRPr="00FC3C94" w:rsidRDefault="005C6407" w:rsidP="003963AB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717B9DB" w14:textId="6F13E3C6" w:rsidR="00FC3C94" w:rsidRPr="00FC3C94" w:rsidRDefault="00FC3C94" w:rsidP="00FC3C94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FC3C94">
        <w:rPr>
          <w:rFonts w:ascii="Arial" w:hAnsi="Arial" w:cs="Arial"/>
          <w:b/>
          <w:bCs/>
          <w:sz w:val="22"/>
          <w:szCs w:val="22"/>
          <w:lang w:val="cs-CZ"/>
        </w:rPr>
        <w:t>Tabulka 1: Váha pojistného na HDP dané země</w:t>
      </w:r>
    </w:p>
    <w:p w14:paraId="6441EE8F" w14:textId="77777777" w:rsidR="00FC3C94" w:rsidRPr="00FC3C94" w:rsidRDefault="00FC3C94" w:rsidP="00FC3C94">
      <w:pPr>
        <w:spacing w:after="120"/>
        <w:rPr>
          <w:rFonts w:ascii="Arial" w:hAnsi="Arial" w:cs="Arial"/>
          <w:bCs/>
          <w:sz w:val="22"/>
          <w:szCs w:val="22"/>
          <w:lang w:val="cs-CZ"/>
        </w:rPr>
      </w:pPr>
      <w:r w:rsidRPr="00FC3C94">
        <w:rPr>
          <w:rFonts w:ascii="Arial" w:hAnsi="Arial" w:cs="Arial"/>
          <w:bCs/>
          <w:sz w:val="22"/>
          <w:szCs w:val="22"/>
          <w:lang w:val="cs-CZ"/>
        </w:rPr>
        <w:t>Rok 2016, vybrané země EU, dle metodiky OECD (v %)</w:t>
      </w:r>
    </w:p>
    <w:p w14:paraId="5069C249" w14:textId="77777777" w:rsidR="00FC3C94" w:rsidRPr="0099754D" w:rsidRDefault="00FC3C94" w:rsidP="00FC3C94">
      <w:pPr>
        <w:spacing w:after="120"/>
        <w:rPr>
          <w:rFonts w:ascii="Arial" w:hAnsi="Arial" w:cs="Arial"/>
          <w:bCs/>
          <w:sz w:val="22"/>
          <w:lang w:val="cs-CZ"/>
        </w:rPr>
        <w:sectPr w:rsidR="00FC3C94" w:rsidRPr="0099754D" w:rsidSect="00BE5EF7">
          <w:headerReference w:type="default" r:id="rId10"/>
          <w:footerReference w:type="default" r:id="rId11"/>
          <w:type w:val="continuous"/>
          <w:pgSz w:w="12240" w:h="15840"/>
          <w:pgMar w:top="907" w:right="1440" w:bottom="1304" w:left="1440" w:header="794" w:footer="720" w:gutter="0"/>
          <w:cols w:space="720"/>
          <w:docGrid w:linePitch="360"/>
        </w:sectPr>
      </w:pPr>
    </w:p>
    <w:tbl>
      <w:tblPr>
        <w:tblW w:w="224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7"/>
        <w:gridCol w:w="708"/>
      </w:tblGrid>
      <w:tr w:rsidR="00FC3C94" w:rsidRPr="00BE5EF7" w14:paraId="2FE48CB6" w14:textId="77777777" w:rsidTr="00BD5445">
        <w:trPr>
          <w:trHeight w:val="20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F384D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Francie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F83EA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16,7</w:t>
            </w:r>
          </w:p>
        </w:tc>
      </w:tr>
      <w:tr w:rsidR="00FC3C94" w:rsidRPr="00BE5EF7" w14:paraId="5B29BA63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700C0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Nizozemí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4AF66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14,8</w:t>
            </w:r>
          </w:p>
        </w:tc>
      </w:tr>
      <w:tr w:rsidR="00FC3C94" w:rsidRPr="00BE5EF7" w14:paraId="21BA7D51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05C1A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Rakousko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A401D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14,8</w:t>
            </w:r>
          </w:p>
        </w:tc>
      </w:tr>
      <w:tr w:rsidR="00FC3C94" w:rsidRPr="00BE5EF7" w14:paraId="4ED23514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64BAB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Německo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19E4A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14,2</w:t>
            </w:r>
          </w:p>
        </w:tc>
      </w:tr>
      <w:tr w:rsidR="00FC3C94" w:rsidRPr="00BE5EF7" w14:paraId="11ABCA2D" w14:textId="77777777" w:rsidTr="00BD5445">
        <w:trPr>
          <w:trHeight w:val="227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B22F2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Belgie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88038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13,7</w:t>
            </w:r>
          </w:p>
        </w:tc>
      </w:tr>
      <w:tr w:rsidR="00FC3C94" w:rsidRPr="00BE5EF7" w14:paraId="5F8BCAF6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7CE0F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Itálie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28C148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13,0</w:t>
            </w:r>
          </w:p>
        </w:tc>
      </w:tr>
      <w:tr w:rsidR="00FC3C94" w:rsidRPr="00BE5EF7" w14:paraId="1F81E38D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6171D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Lucembursko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15B8C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13,0</w:t>
            </w:r>
          </w:p>
        </w:tc>
      </w:tr>
      <w:tr w:rsidR="00FC3C94" w:rsidRPr="00BE5EF7" w14:paraId="778AE5B0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35BF5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Španělsko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BA7A2" w14:textId="77777777" w:rsidR="00FC3C94" w:rsidRPr="00BE5EF7" w:rsidRDefault="00FC3C94" w:rsidP="00BD5445">
            <w:pPr>
              <w:rPr>
                <w:rFonts w:ascii="Arial" w:hAnsi="Arial" w:cs="Arial"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11,4</w:t>
            </w:r>
          </w:p>
        </w:tc>
      </w:tr>
      <w:tr w:rsidR="00FC3C94" w:rsidRPr="00BE5EF7" w14:paraId="1EE8E812" w14:textId="77777777" w:rsidTr="00BD5445">
        <w:trPr>
          <w:trHeight w:val="20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A8A40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Řecko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B66FBA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11,0</w:t>
            </w:r>
          </w:p>
        </w:tc>
      </w:tr>
      <w:tr w:rsidR="00FC3C94" w:rsidRPr="00BE5EF7" w14:paraId="69638F4F" w14:textId="77777777" w:rsidTr="00BD5445">
        <w:trPr>
          <w:trHeight w:val="20"/>
        </w:trPr>
        <w:tc>
          <w:tcPr>
            <w:tcW w:w="153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BC88A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Finsko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93359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10,6</w:t>
            </w:r>
          </w:p>
        </w:tc>
      </w:tr>
      <w:tr w:rsidR="00FC3C94" w:rsidRPr="00BE5EF7" w14:paraId="7AE78396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DA976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Švédsko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ACC97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10,0</w:t>
            </w:r>
          </w:p>
        </w:tc>
      </w:tr>
      <w:tr w:rsidR="00FC3C94" w:rsidRPr="00BE5EF7" w14:paraId="6E23393D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AFFD51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Portugalsko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95CE96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9,2</w:t>
            </w:r>
          </w:p>
        </w:tc>
      </w:tr>
      <w:tr w:rsidR="00FC3C94" w:rsidRPr="00BE5EF7" w14:paraId="6653AF7B" w14:textId="77777777" w:rsidTr="00BD5445">
        <w:trPr>
          <w:trHeight w:val="20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D6D0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V. Británie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8DAEE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6,3</w:t>
            </w:r>
          </w:p>
        </w:tc>
      </w:tr>
      <w:tr w:rsidR="00FC3C94" w:rsidRPr="00BE5EF7" w14:paraId="6D9270A6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7FE56A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Irsko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90E448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3,9</w:t>
            </w:r>
          </w:p>
        </w:tc>
      </w:tr>
      <w:tr w:rsidR="00FC3C94" w:rsidRPr="00BE5EF7" w14:paraId="7FBF17B5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88FFC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Dánsko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87DCE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n/a</w:t>
            </w:r>
          </w:p>
        </w:tc>
      </w:tr>
      <w:tr w:rsidR="00FC3C94" w:rsidRPr="00BE5EF7" w14:paraId="4E2C40E2" w14:textId="77777777" w:rsidTr="00BD5445">
        <w:trPr>
          <w:trHeight w:val="20"/>
        </w:trPr>
        <w:tc>
          <w:tcPr>
            <w:tcW w:w="15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FD6CB8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ČR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40B352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n/a</w:t>
            </w:r>
          </w:p>
        </w:tc>
      </w:tr>
    </w:tbl>
    <w:p w14:paraId="12C1EDC1" w14:textId="77777777" w:rsidR="00FC3C94" w:rsidRDefault="00FC3C94" w:rsidP="00FC3C94">
      <w:pPr>
        <w:rPr>
          <w:rFonts w:ascii="Arial" w:hAnsi="Arial" w:cs="Arial"/>
          <w:sz w:val="52"/>
        </w:rPr>
        <w:sectPr w:rsidR="00FC3C94" w:rsidSect="00BE5EF7">
          <w:type w:val="continuous"/>
          <w:pgSz w:w="12240" w:h="15840"/>
          <w:pgMar w:top="907" w:right="1440" w:bottom="1304" w:left="1440" w:header="794" w:footer="720" w:gutter="0"/>
          <w:cols w:num="4" w:space="284"/>
          <w:docGrid w:linePitch="360"/>
        </w:sectPr>
      </w:pPr>
    </w:p>
    <w:p w14:paraId="34CABBD0" w14:textId="77777777" w:rsidR="00FC3C94" w:rsidRPr="00FC3C94" w:rsidRDefault="00FC3C94" w:rsidP="00FC3C94">
      <w:pPr>
        <w:rPr>
          <w:rFonts w:ascii="Arial" w:hAnsi="Arial" w:cs="Arial"/>
          <w:b/>
          <w:sz w:val="22"/>
          <w:szCs w:val="22"/>
        </w:rPr>
      </w:pPr>
      <w:r w:rsidRPr="00FC3C94">
        <w:rPr>
          <w:rFonts w:ascii="Arial" w:hAnsi="Arial" w:cs="Arial"/>
          <w:b/>
          <w:sz w:val="22"/>
          <w:szCs w:val="22"/>
        </w:rPr>
        <w:t>Tabulka 2: Váha spotřebních daní  na HDP dané země</w:t>
      </w:r>
    </w:p>
    <w:p w14:paraId="6093E4F7" w14:textId="77777777" w:rsidR="00FC3C94" w:rsidRPr="00FC3C94" w:rsidRDefault="00FC3C94" w:rsidP="00FC3C94">
      <w:pPr>
        <w:spacing w:after="120"/>
        <w:rPr>
          <w:rFonts w:ascii="Arial" w:hAnsi="Arial" w:cs="Arial"/>
          <w:bCs/>
          <w:sz w:val="22"/>
          <w:szCs w:val="22"/>
        </w:rPr>
      </w:pPr>
      <w:r w:rsidRPr="00FC3C94">
        <w:rPr>
          <w:rFonts w:ascii="Arial" w:hAnsi="Arial" w:cs="Arial"/>
          <w:bCs/>
          <w:sz w:val="22"/>
          <w:szCs w:val="22"/>
        </w:rPr>
        <w:t>Rok 2016, vybrané země EU, dle metodiky OECD (v %)</w:t>
      </w:r>
    </w:p>
    <w:p w14:paraId="24C3BFBC" w14:textId="77777777" w:rsidR="00FC3C94" w:rsidRDefault="00FC3C94" w:rsidP="00FC3C94">
      <w:pPr>
        <w:rPr>
          <w:rFonts w:ascii="Arial" w:hAnsi="Arial" w:cs="Arial"/>
          <w:b/>
          <w:bCs/>
        </w:rPr>
        <w:sectPr w:rsidR="00FC3C94" w:rsidSect="00BE5EF7">
          <w:type w:val="continuous"/>
          <w:pgSz w:w="12240" w:h="15840"/>
          <w:pgMar w:top="907" w:right="1440" w:bottom="1304" w:left="1440" w:header="794" w:footer="720" w:gutter="0"/>
          <w:cols w:space="720"/>
          <w:docGrid w:linePitch="360"/>
        </w:sectPr>
      </w:pPr>
    </w:p>
    <w:tbl>
      <w:tblPr>
        <w:tblW w:w="22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7"/>
        <w:gridCol w:w="708"/>
      </w:tblGrid>
      <w:tr w:rsidR="00FC3C94" w:rsidRPr="00BE5EF7" w14:paraId="1366F9C7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4746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Řecko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DEFD7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15,8</w:t>
            </w:r>
          </w:p>
        </w:tc>
      </w:tr>
      <w:tr w:rsidR="00FC3C94" w:rsidRPr="00BE5EF7" w14:paraId="28A84697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905B5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Dánsko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CD65B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14,9</w:t>
            </w:r>
          </w:p>
        </w:tc>
      </w:tr>
      <w:tr w:rsidR="00FC3C94" w:rsidRPr="00BE5EF7" w14:paraId="658CF1B9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8C70D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Finsko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92068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14,5</w:t>
            </w:r>
          </w:p>
        </w:tc>
      </w:tr>
      <w:tr w:rsidR="00FC3C94" w:rsidRPr="00BE5EF7" w14:paraId="363EC0F4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22C08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Portugalsko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02957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13,6</w:t>
            </w:r>
          </w:p>
        </w:tc>
      </w:tr>
      <w:tr w:rsidR="00FC3C94" w:rsidRPr="00BE5EF7" w14:paraId="3626E18D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D1C05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Švédsko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8BB50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12,4</w:t>
            </w:r>
          </w:p>
        </w:tc>
      </w:tr>
      <w:tr w:rsidR="00FC3C94" w:rsidRPr="00BE5EF7" w14:paraId="61F02BEE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7B0DF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Itálie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91BE7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12,1</w:t>
            </w:r>
          </w:p>
        </w:tc>
      </w:tr>
      <w:tr w:rsidR="00FC3C94" w:rsidRPr="00BE5EF7" w14:paraId="445404CD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24072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Rakousko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F4055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12,0</w:t>
            </w:r>
          </w:p>
        </w:tc>
      </w:tr>
      <w:tr w:rsidR="00FC3C94" w:rsidRPr="00BE5EF7" w14:paraId="0E19ADAE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8F321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Nizozemí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41DD8" w14:textId="77777777" w:rsidR="00FC3C94" w:rsidRPr="00BE5EF7" w:rsidRDefault="00FC3C94" w:rsidP="00BD5445">
            <w:pPr>
              <w:rPr>
                <w:rFonts w:ascii="Arial" w:hAnsi="Arial" w:cs="Arial"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11,5</w:t>
            </w:r>
          </w:p>
        </w:tc>
      </w:tr>
      <w:tr w:rsidR="00FC3C94" w:rsidRPr="00BE5EF7" w14:paraId="63B6A504" w14:textId="77777777" w:rsidTr="00BD5445">
        <w:trPr>
          <w:trHeight w:val="227"/>
        </w:trPr>
        <w:tc>
          <w:tcPr>
            <w:tcW w:w="1537" w:type="dxa"/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8A742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ČR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5478C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11,3</w:t>
            </w:r>
          </w:p>
        </w:tc>
      </w:tr>
      <w:tr w:rsidR="00FC3C94" w:rsidRPr="00BE5EF7" w14:paraId="6435707E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57E84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Francie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3375A8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11,1</w:t>
            </w:r>
          </w:p>
        </w:tc>
      </w:tr>
      <w:tr w:rsidR="00FC3C94" w:rsidRPr="00BE5EF7" w14:paraId="092A5BC5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97008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Belgie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BD013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10,8</w:t>
            </w:r>
          </w:p>
        </w:tc>
      </w:tr>
      <w:tr w:rsidR="00FC3C94" w:rsidRPr="00BE5EF7" w14:paraId="404F9D09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0F5980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V. Británie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9618A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10,7</w:t>
            </w:r>
          </w:p>
        </w:tc>
      </w:tr>
      <w:tr w:rsidR="00FC3C94" w:rsidRPr="00BE5EF7" w14:paraId="10F6A064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83B0F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Německo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E91A7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10,2</w:t>
            </w:r>
          </w:p>
        </w:tc>
      </w:tr>
      <w:tr w:rsidR="00FC3C94" w:rsidRPr="00BE5EF7" w14:paraId="3116EC21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3E562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Španělsko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3BE43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9,8</w:t>
            </w:r>
          </w:p>
        </w:tc>
      </w:tr>
      <w:tr w:rsidR="00FC3C94" w:rsidRPr="00BE5EF7" w14:paraId="343DE3C6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D7505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Lucembursko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F2227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9,1</w:t>
            </w:r>
          </w:p>
        </w:tc>
      </w:tr>
      <w:tr w:rsidR="00FC3C94" w:rsidRPr="00BE5EF7" w14:paraId="6756CAC0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57DFD9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sz w:val="18"/>
              </w:rPr>
              <w:t>Irsko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35528" w14:textId="77777777" w:rsidR="00FC3C94" w:rsidRPr="00BE5EF7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BE5EF7">
              <w:rPr>
                <w:rFonts w:ascii="Arial" w:hAnsi="Arial" w:cs="Arial"/>
                <w:b/>
                <w:bCs/>
                <w:i/>
                <w:iCs/>
                <w:sz w:val="18"/>
              </w:rPr>
              <w:t>7,5</w:t>
            </w:r>
          </w:p>
        </w:tc>
      </w:tr>
    </w:tbl>
    <w:p w14:paraId="07AD252F" w14:textId="77777777" w:rsidR="00FC3C94" w:rsidRDefault="00FC3C94" w:rsidP="00FC3C94">
      <w:pPr>
        <w:rPr>
          <w:rFonts w:ascii="Arial" w:hAnsi="Arial" w:cs="Arial"/>
          <w:b/>
        </w:rPr>
        <w:sectPr w:rsidR="00FC3C94" w:rsidSect="00BE5EF7">
          <w:type w:val="continuous"/>
          <w:pgSz w:w="12240" w:h="15840"/>
          <w:pgMar w:top="907" w:right="1440" w:bottom="1304" w:left="1440" w:header="794" w:footer="720" w:gutter="0"/>
          <w:cols w:num="4" w:space="284"/>
          <w:docGrid w:linePitch="360"/>
        </w:sectPr>
      </w:pPr>
    </w:p>
    <w:p w14:paraId="1878321A" w14:textId="77777777" w:rsidR="00FC3C94" w:rsidRPr="00FC3C94" w:rsidRDefault="00FC3C94" w:rsidP="00FC3C9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C3C94">
        <w:rPr>
          <w:rFonts w:ascii="Arial" w:hAnsi="Arial" w:cs="Arial"/>
          <w:b/>
          <w:bCs/>
          <w:sz w:val="22"/>
          <w:szCs w:val="22"/>
        </w:rPr>
        <w:t>Tabulka 3: Váha daní z příjmů fyzických osob na HDP dané země</w:t>
      </w:r>
      <w:r w:rsidRPr="00FC3C94">
        <w:rPr>
          <w:rFonts w:ascii="Arial" w:hAnsi="Arial" w:cs="Arial"/>
          <w:b/>
          <w:bCs/>
          <w:sz w:val="22"/>
          <w:szCs w:val="22"/>
        </w:rPr>
        <w:br/>
      </w:r>
      <w:r w:rsidRPr="00FC3C94">
        <w:rPr>
          <w:rFonts w:ascii="Arial" w:hAnsi="Arial" w:cs="Arial"/>
          <w:bCs/>
          <w:sz w:val="22"/>
          <w:szCs w:val="22"/>
        </w:rPr>
        <w:t>Rok 2016, vybrané země EU, dle metodiky OECD (v %)</w:t>
      </w:r>
    </w:p>
    <w:p w14:paraId="5626C17F" w14:textId="77777777" w:rsidR="00FC3C94" w:rsidRPr="0099754D" w:rsidRDefault="00FC3C94" w:rsidP="00FC3C94">
      <w:pPr>
        <w:spacing w:after="120"/>
        <w:rPr>
          <w:rFonts w:ascii="Arial" w:hAnsi="Arial" w:cs="Arial"/>
          <w:b/>
          <w:bCs/>
          <w:sz w:val="22"/>
        </w:rPr>
        <w:sectPr w:rsidR="00FC3C94" w:rsidRPr="0099754D" w:rsidSect="00BE5EF7">
          <w:headerReference w:type="default" r:id="rId12"/>
          <w:footerReference w:type="default" r:id="rId13"/>
          <w:type w:val="continuous"/>
          <w:pgSz w:w="12240" w:h="15840"/>
          <w:pgMar w:top="907" w:right="1440" w:bottom="1304" w:left="1440" w:header="794" w:footer="720" w:gutter="0"/>
          <w:cols w:space="720"/>
          <w:docGrid w:linePitch="360"/>
        </w:sectPr>
      </w:pPr>
    </w:p>
    <w:tbl>
      <w:tblPr>
        <w:tblW w:w="22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7"/>
        <w:gridCol w:w="708"/>
      </w:tblGrid>
      <w:tr w:rsidR="00FC3C94" w:rsidRPr="0099754D" w14:paraId="4711765B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A0BDD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Francie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5F83F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16,7</w:t>
            </w:r>
          </w:p>
        </w:tc>
      </w:tr>
      <w:tr w:rsidR="00FC3C94" w:rsidRPr="0099754D" w14:paraId="3453F840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66970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Nizozemí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7A224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14,8</w:t>
            </w:r>
          </w:p>
        </w:tc>
      </w:tr>
      <w:tr w:rsidR="00FC3C94" w:rsidRPr="0099754D" w14:paraId="7F01B7C8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7796F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Rakousko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A440E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14,8</w:t>
            </w:r>
          </w:p>
        </w:tc>
      </w:tr>
      <w:tr w:rsidR="00FC3C94" w:rsidRPr="0099754D" w14:paraId="330B03CC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466AB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Německo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13A76E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14,2</w:t>
            </w:r>
          </w:p>
        </w:tc>
      </w:tr>
      <w:tr w:rsidR="00FC3C94" w:rsidRPr="0099754D" w14:paraId="36E7EFB7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D84F9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Belgie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31275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13,7</w:t>
            </w:r>
          </w:p>
        </w:tc>
      </w:tr>
      <w:tr w:rsidR="00FC3C94" w:rsidRPr="0099754D" w14:paraId="1A4BB299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E417D1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Itálie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2B30D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13,0</w:t>
            </w:r>
          </w:p>
        </w:tc>
      </w:tr>
      <w:tr w:rsidR="00FC3C94" w:rsidRPr="0099754D" w14:paraId="0B770433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F45E3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Lucembursko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8F90C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13,0</w:t>
            </w:r>
          </w:p>
        </w:tc>
      </w:tr>
      <w:tr w:rsidR="00FC3C94" w:rsidRPr="0099754D" w14:paraId="77456D7E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8CCE6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Španělsko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9927C" w14:textId="77777777" w:rsidR="00FC3C94" w:rsidRPr="0099754D" w:rsidRDefault="00FC3C94" w:rsidP="00BD5445">
            <w:pPr>
              <w:rPr>
                <w:rFonts w:ascii="Arial" w:hAnsi="Arial" w:cs="Arial"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11,4</w:t>
            </w:r>
          </w:p>
        </w:tc>
      </w:tr>
      <w:tr w:rsidR="00FC3C94" w:rsidRPr="0099754D" w14:paraId="42C910F4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681CB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Řecko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E2EDF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11,0</w:t>
            </w:r>
          </w:p>
        </w:tc>
      </w:tr>
      <w:tr w:rsidR="00FC3C94" w:rsidRPr="0099754D" w14:paraId="4B3FB174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9C48DE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Finsko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43987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10,6</w:t>
            </w:r>
          </w:p>
        </w:tc>
      </w:tr>
      <w:tr w:rsidR="00FC3C94" w:rsidRPr="0099754D" w14:paraId="6E3C9AE9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79EEF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Švédsko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910F7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10,0</w:t>
            </w:r>
          </w:p>
        </w:tc>
      </w:tr>
      <w:tr w:rsidR="00FC3C94" w:rsidRPr="0099754D" w14:paraId="17158CD6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0FCBEA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Portugalsko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E9FCE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9,2</w:t>
            </w:r>
          </w:p>
        </w:tc>
      </w:tr>
      <w:tr w:rsidR="00FC3C94" w:rsidRPr="0099754D" w14:paraId="11128C6A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C8AFE8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V. Británie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1119AC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6,3</w:t>
            </w:r>
          </w:p>
        </w:tc>
      </w:tr>
      <w:tr w:rsidR="00FC3C94" w:rsidRPr="0099754D" w14:paraId="17D98F83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18970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Irsko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2259BD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3,9</w:t>
            </w:r>
          </w:p>
        </w:tc>
      </w:tr>
      <w:tr w:rsidR="00FC3C94" w:rsidRPr="0099754D" w14:paraId="5FD75904" w14:textId="77777777" w:rsidTr="00BD5445">
        <w:trPr>
          <w:trHeight w:val="20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6364FE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Dánsko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613ED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n/a</w:t>
            </w:r>
          </w:p>
        </w:tc>
      </w:tr>
      <w:tr w:rsidR="00FC3C94" w:rsidRPr="0099754D" w14:paraId="68F10AA0" w14:textId="77777777" w:rsidTr="00BD5445">
        <w:trPr>
          <w:trHeight w:val="20"/>
        </w:trPr>
        <w:tc>
          <w:tcPr>
            <w:tcW w:w="1537" w:type="dxa"/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7EDA33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</w:rPr>
              <w:t>ČR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5B803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</w:rPr>
              <w:t>n/a</w:t>
            </w:r>
          </w:p>
        </w:tc>
      </w:tr>
    </w:tbl>
    <w:p w14:paraId="02319D88" w14:textId="77777777" w:rsidR="00FC3C94" w:rsidRDefault="00FC3C94" w:rsidP="00FC3C94">
      <w:pPr>
        <w:rPr>
          <w:rFonts w:ascii="Arial" w:hAnsi="Arial" w:cs="Arial"/>
          <w:b/>
        </w:rPr>
        <w:sectPr w:rsidR="00FC3C94" w:rsidSect="00BE5EF7">
          <w:type w:val="continuous"/>
          <w:pgSz w:w="12240" w:h="15840"/>
          <w:pgMar w:top="907" w:right="1440" w:bottom="1304" w:left="1440" w:header="794" w:footer="720" w:gutter="0"/>
          <w:cols w:num="4" w:space="284"/>
          <w:docGrid w:linePitch="360"/>
        </w:sectPr>
      </w:pPr>
    </w:p>
    <w:p w14:paraId="4475121E" w14:textId="77777777" w:rsidR="00FC3C94" w:rsidRDefault="00FC3C94" w:rsidP="00FC3C94">
      <w:pPr>
        <w:rPr>
          <w:rFonts w:ascii="Arial" w:hAnsi="Arial" w:cs="Arial"/>
          <w:b/>
        </w:rPr>
      </w:pPr>
    </w:p>
    <w:p w14:paraId="5A44ED14" w14:textId="77777777" w:rsidR="00FC3C94" w:rsidRPr="00FC3C94" w:rsidRDefault="00FC3C94" w:rsidP="00FC3C94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FC3C94">
        <w:rPr>
          <w:rFonts w:ascii="Arial" w:hAnsi="Arial" w:cs="Arial"/>
          <w:b/>
          <w:sz w:val="22"/>
          <w:szCs w:val="22"/>
        </w:rPr>
        <w:t>Tabulka 4: Váha daní z příjmů právnických osob na HDP dané země</w:t>
      </w:r>
      <w:r w:rsidRPr="00FC3C94">
        <w:rPr>
          <w:rFonts w:ascii="Arial" w:hAnsi="Arial" w:cs="Arial"/>
          <w:b/>
          <w:sz w:val="22"/>
          <w:szCs w:val="22"/>
        </w:rPr>
        <w:br/>
      </w:r>
      <w:r w:rsidRPr="00FC3C94">
        <w:rPr>
          <w:rFonts w:ascii="Arial" w:hAnsi="Arial" w:cs="Arial"/>
          <w:bCs/>
          <w:sz w:val="22"/>
          <w:szCs w:val="22"/>
        </w:rPr>
        <w:t>Rok 2016, vybrané země EU, dle metodiky OECD (v %)</w:t>
      </w:r>
    </w:p>
    <w:p w14:paraId="2148037D" w14:textId="77777777" w:rsidR="00FC3C94" w:rsidRDefault="00FC3C94" w:rsidP="00FC3C94">
      <w:pPr>
        <w:rPr>
          <w:rFonts w:ascii="Arial" w:hAnsi="Arial" w:cs="Arial"/>
          <w:b/>
          <w:bCs/>
          <w:sz w:val="18"/>
          <w:szCs w:val="18"/>
        </w:rPr>
        <w:sectPr w:rsidR="00FC3C94" w:rsidSect="00BE5EF7">
          <w:type w:val="continuous"/>
          <w:pgSz w:w="12240" w:h="15840"/>
          <w:pgMar w:top="907" w:right="1440" w:bottom="1304" w:left="1440" w:header="794" w:footer="720" w:gutter="0"/>
          <w:cols w:space="720"/>
          <w:docGrid w:linePitch="360"/>
        </w:sectPr>
      </w:pPr>
    </w:p>
    <w:tbl>
      <w:tblPr>
        <w:tblW w:w="22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7"/>
        <w:gridCol w:w="708"/>
      </w:tblGrid>
      <w:tr w:rsidR="00FC3C94" w:rsidRPr="0099754D" w14:paraId="7F23BD2A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AA97A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Řecko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489B5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15,8</w:t>
            </w:r>
          </w:p>
        </w:tc>
      </w:tr>
      <w:tr w:rsidR="00FC3C94" w:rsidRPr="0099754D" w14:paraId="3767A096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D015A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Dánsko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98E60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14,9</w:t>
            </w:r>
          </w:p>
        </w:tc>
      </w:tr>
      <w:tr w:rsidR="00FC3C94" w:rsidRPr="0099754D" w14:paraId="2A3AB986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87EAC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Finsko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060B5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14,5</w:t>
            </w:r>
          </w:p>
        </w:tc>
      </w:tr>
      <w:tr w:rsidR="00FC3C94" w:rsidRPr="0099754D" w14:paraId="180424CA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C253E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Portugalsko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9403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13,6</w:t>
            </w:r>
          </w:p>
        </w:tc>
      </w:tr>
      <w:tr w:rsidR="00FC3C94" w:rsidRPr="0099754D" w14:paraId="01A48623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409DC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Švédsko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B2AC5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12,4</w:t>
            </w:r>
          </w:p>
        </w:tc>
      </w:tr>
      <w:tr w:rsidR="00FC3C94" w:rsidRPr="0099754D" w14:paraId="34B3A454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A9388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Itálie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A7F54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12,1</w:t>
            </w:r>
          </w:p>
        </w:tc>
      </w:tr>
      <w:tr w:rsidR="00FC3C94" w:rsidRPr="0099754D" w14:paraId="54B0F55C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3EE66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Rakousko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DAEA0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FC3C94" w:rsidRPr="0099754D" w14:paraId="0D063DAB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19DF8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Nizozemí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5FAE0" w14:textId="77777777" w:rsidR="00FC3C94" w:rsidRPr="0099754D" w:rsidRDefault="00FC3C94" w:rsidP="00BD54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11,5</w:t>
            </w:r>
          </w:p>
        </w:tc>
      </w:tr>
      <w:tr w:rsidR="00FC3C94" w:rsidRPr="0099754D" w14:paraId="133E46E5" w14:textId="77777777" w:rsidTr="00BD5445">
        <w:trPr>
          <w:trHeight w:val="227"/>
        </w:trPr>
        <w:tc>
          <w:tcPr>
            <w:tcW w:w="1537" w:type="dxa"/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877E0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ČR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BB366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11,3</w:t>
            </w:r>
          </w:p>
        </w:tc>
      </w:tr>
      <w:tr w:rsidR="00FC3C94" w:rsidRPr="0099754D" w14:paraId="63C80753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275F7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Francie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4561A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11,1</w:t>
            </w:r>
          </w:p>
        </w:tc>
      </w:tr>
      <w:tr w:rsidR="00FC3C94" w:rsidRPr="0099754D" w14:paraId="70133132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DD9DD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Belgie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BBD89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10,8</w:t>
            </w:r>
          </w:p>
        </w:tc>
      </w:tr>
      <w:tr w:rsidR="00FC3C94" w:rsidRPr="0099754D" w14:paraId="747F5CB9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331E4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Velká Británie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ADD2DE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10,7</w:t>
            </w:r>
          </w:p>
        </w:tc>
      </w:tr>
      <w:tr w:rsidR="00FC3C94" w:rsidRPr="0099754D" w14:paraId="1B889E15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50963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Německo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5EF43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10,2</w:t>
            </w:r>
          </w:p>
        </w:tc>
      </w:tr>
      <w:tr w:rsidR="00FC3C94" w:rsidRPr="0099754D" w14:paraId="0101CB93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53CB5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Španělsko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6C49F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9,8</w:t>
            </w:r>
          </w:p>
        </w:tc>
      </w:tr>
      <w:tr w:rsidR="00FC3C94" w:rsidRPr="0099754D" w14:paraId="33C0E376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B88A4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Lucembursko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5C4EF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9,1</w:t>
            </w:r>
          </w:p>
        </w:tc>
      </w:tr>
      <w:tr w:rsidR="00FC3C94" w:rsidRPr="0099754D" w14:paraId="581871E5" w14:textId="77777777" w:rsidTr="00BD5445">
        <w:trPr>
          <w:trHeight w:val="227"/>
        </w:trPr>
        <w:tc>
          <w:tcPr>
            <w:tcW w:w="1537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2E928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sz w:val="18"/>
                <w:szCs w:val="18"/>
              </w:rPr>
              <w:t>Irsko</w:t>
            </w:r>
          </w:p>
        </w:tc>
        <w:tc>
          <w:tcPr>
            <w:tcW w:w="708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75B5A" w14:textId="77777777" w:rsidR="00FC3C94" w:rsidRPr="0099754D" w:rsidRDefault="00FC3C94" w:rsidP="00BD54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975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7,5</w:t>
            </w:r>
          </w:p>
        </w:tc>
      </w:tr>
    </w:tbl>
    <w:p w14:paraId="3CD6551A" w14:textId="77777777" w:rsidR="00FC3C94" w:rsidRDefault="00FC3C94" w:rsidP="00FC3C94">
      <w:pPr>
        <w:rPr>
          <w:rFonts w:ascii="Arial" w:hAnsi="Arial" w:cs="Arial"/>
          <w:b/>
        </w:rPr>
        <w:sectPr w:rsidR="00FC3C94" w:rsidSect="0099754D">
          <w:type w:val="continuous"/>
          <w:pgSz w:w="12240" w:h="15840"/>
          <w:pgMar w:top="907" w:right="1440" w:bottom="1304" w:left="1440" w:header="794" w:footer="720" w:gutter="0"/>
          <w:cols w:num="4" w:space="284"/>
          <w:docGrid w:linePitch="360"/>
        </w:sectPr>
      </w:pPr>
    </w:p>
    <w:p w14:paraId="058BAA67" w14:textId="77777777" w:rsidR="00FC3C94" w:rsidRPr="00FC3C94" w:rsidRDefault="00FC3C94" w:rsidP="00FC3C94">
      <w:pPr>
        <w:rPr>
          <w:rFonts w:ascii="Arial" w:hAnsi="Arial" w:cs="Arial"/>
          <w:b/>
          <w:sz w:val="22"/>
          <w:szCs w:val="22"/>
        </w:rPr>
        <w:sectPr w:rsidR="00FC3C94" w:rsidRPr="00FC3C94" w:rsidSect="00DD7700">
          <w:type w:val="continuous"/>
          <w:pgSz w:w="12240" w:h="15840"/>
          <w:pgMar w:top="907" w:right="1440" w:bottom="1304" w:left="1440" w:header="794" w:footer="720" w:gutter="0"/>
          <w:cols w:space="720"/>
          <w:docGrid w:linePitch="360"/>
        </w:sectPr>
      </w:pPr>
      <w:r w:rsidRPr="00FC3C94">
        <w:rPr>
          <w:rFonts w:ascii="Arial" w:hAnsi="Arial" w:cs="Arial"/>
          <w:bCs/>
          <w:i/>
          <w:sz w:val="22"/>
          <w:szCs w:val="22"/>
        </w:rPr>
        <w:br/>
        <w:t>Zdroj tabulek 1-4: OECD Revenue Statistics, 2016 edition</w:t>
      </w:r>
      <w:r w:rsidRPr="00FC3C94">
        <w:rPr>
          <w:rFonts w:ascii="Arial" w:hAnsi="Arial" w:cs="Arial"/>
          <w:b/>
          <w:sz w:val="22"/>
          <w:szCs w:val="22"/>
        </w:rPr>
        <w:t xml:space="preserve"> </w:t>
      </w:r>
    </w:p>
    <w:p w14:paraId="2DE5651D" w14:textId="7662FEF0" w:rsidR="003B7D14" w:rsidRPr="00EB59BC" w:rsidRDefault="003B7D14" w:rsidP="003B7D14">
      <w:pPr>
        <w:rPr>
          <w:bCs/>
          <w:i/>
          <w:lang w:val="cs-CZ"/>
        </w:rPr>
        <w:sectPr w:rsidR="003B7D14" w:rsidRPr="00EB59BC" w:rsidSect="009F1572">
          <w:headerReference w:type="default" r:id="rId14"/>
          <w:footerReference w:type="default" r:id="rId15"/>
          <w:type w:val="continuous"/>
          <w:pgSz w:w="12240" w:h="15840"/>
          <w:pgMar w:top="907" w:right="1440" w:bottom="1304" w:left="1440" w:header="794" w:footer="720" w:gutter="0"/>
          <w:cols w:num="2" w:space="720"/>
          <w:docGrid w:linePitch="360"/>
        </w:sectPr>
      </w:pPr>
    </w:p>
    <w:p w14:paraId="3E35785D" w14:textId="40432771" w:rsidR="00D82BD4" w:rsidRPr="005C6407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lastRenderedPageBreak/>
        <w:t>Další závažnou bariérou znesnadňující fungování společného trhu je</w:t>
      </w:r>
      <w:r w:rsidR="003B7D14" w:rsidRPr="005C640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D82BD4" w:rsidRPr="00DB0820">
        <w:rPr>
          <w:rFonts w:ascii="Arial" w:hAnsi="Arial" w:cs="Arial"/>
          <w:b/>
          <w:sz w:val="22"/>
          <w:szCs w:val="22"/>
          <w:lang w:val="cs-CZ" w:eastAsia="cs-CZ"/>
        </w:rPr>
        <w:t xml:space="preserve">nedokončené </w:t>
      </w:r>
      <w:r w:rsidRPr="00DB0820">
        <w:rPr>
          <w:rFonts w:ascii="Arial" w:hAnsi="Arial" w:cs="Arial"/>
          <w:b/>
          <w:sz w:val="22"/>
          <w:szCs w:val="22"/>
          <w:lang w:val="cs-CZ" w:eastAsia="cs-CZ"/>
        </w:rPr>
        <w:t xml:space="preserve">regulační prostředí v oblasti ochrany práv </w:t>
      </w:r>
      <w:r w:rsidR="004B6E33" w:rsidRPr="00DB0820">
        <w:rPr>
          <w:rFonts w:ascii="Arial" w:hAnsi="Arial" w:cs="Arial"/>
          <w:b/>
          <w:sz w:val="22"/>
          <w:szCs w:val="22"/>
          <w:lang w:val="cs-CZ" w:eastAsia="cs-CZ"/>
        </w:rPr>
        <w:t xml:space="preserve">průmyslového </w:t>
      </w:r>
      <w:r w:rsidRPr="00DB0820">
        <w:rPr>
          <w:rFonts w:ascii="Arial" w:hAnsi="Arial" w:cs="Arial"/>
          <w:b/>
          <w:sz w:val="22"/>
          <w:szCs w:val="22"/>
          <w:lang w:val="cs-CZ" w:eastAsia="cs-CZ"/>
        </w:rPr>
        <w:t xml:space="preserve"> vlastnictví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. Na úrovni EU 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již více let funguje jednotná právní 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 xml:space="preserve">režim 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>ochranné známky, průmyslového vzor</w:t>
      </w:r>
      <w:r w:rsidR="00DB0820">
        <w:rPr>
          <w:rFonts w:ascii="Arial" w:hAnsi="Arial" w:cs="Arial"/>
          <w:sz w:val="22"/>
          <w:szCs w:val="22"/>
          <w:lang w:val="cs-CZ" w:eastAsia="cs-CZ"/>
        </w:rPr>
        <w:t>u, chráněného označení původu a 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>zeměpisného označení, ani po čtyřiceti letech jednání se však dosud nestal skutečností jednotný evropský patent vycházející z práva EU (nejde o tzv. Evropský patent udělovaný na základě Úmluvy o udělování evropských patentů, kterou sice podepsalo 38 evropských států, jíž zavedený</w:t>
      </w:r>
      <w:r w:rsidR="005C6407" w:rsidRPr="005C6407">
        <w:rPr>
          <w:rFonts w:ascii="Arial" w:hAnsi="Arial" w:cs="Arial"/>
          <w:sz w:val="22"/>
          <w:szCs w:val="22"/>
          <w:lang w:val="cs-CZ" w:eastAsia="cs-CZ"/>
        </w:rPr>
        <w:t xml:space="preserve"> systém ochrany je však drahý </w:t>
      </w:r>
      <w:r w:rsidR="005C6407" w:rsidRPr="005C6407">
        <w:rPr>
          <w:rFonts w:ascii="Arial" w:hAnsi="Arial" w:cs="Arial"/>
          <w:sz w:val="22"/>
          <w:szCs w:val="22"/>
        </w:rPr>
        <w:t xml:space="preserve">a </w:t>
      </w:r>
      <w:r w:rsidR="00D82BD4" w:rsidRPr="005C6407">
        <w:rPr>
          <w:rFonts w:ascii="Arial" w:hAnsi="Arial" w:cs="Arial"/>
          <w:sz w:val="22"/>
          <w:szCs w:val="22"/>
          <w:lang w:val="cs-CZ"/>
        </w:rPr>
        <w:t>administrativně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 náročný). Nařízení č. 1257/2012 </w:t>
      </w:r>
      <w:r w:rsidR="00DB0820">
        <w:rPr>
          <w:rFonts w:ascii="Arial" w:hAnsi="Arial" w:cs="Arial"/>
          <w:sz w:val="22"/>
          <w:szCs w:val="22"/>
          <w:lang w:val="cs-CZ" w:eastAsia="cs-CZ"/>
        </w:rPr>
        <w:t>o 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 xml:space="preserve">vytvoření jednotné patentové ochrany 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bylo v EU přijato jen v režimu tzv. posílené spolupráce, neboť z jazykových důvodů ho odmítly Itálie a Španělsko. 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>Získání patentové ochrany v 25 zúčastněných členských státech by se mělo značně zjednodušit a zlevnit a stát se dosažitelným i pro středně velké podniky. Fungování nového systému ochrany však závisí na navazující Dohodě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 o jednotném patentovém soudu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 xml:space="preserve">, která již sice 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byla ratifikována 14 z 25 signatářů (podmínkou účinnosti je 13 ratifikací), chybějí mezi 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 xml:space="preserve">nimi 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>však dva nezbytní účastníci, a to Velká Británie a Německo. Velká Británie dle posledních zpráva zřejmě nehledě na svůj odchod z EU dohodu brzy ratifikuje, v Německu však ratifikaci pozastavil konstituční spor, který nyní řeší tamní ústavní soud. I v jiných zemíc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>h (včetně ČR, která dosud tuto D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>ohodu také neratifikovala) se vyrojila řada kritických připomínek, a to zejména k nákladn</w:t>
      </w:r>
      <w:r w:rsidR="00DB0820">
        <w:rPr>
          <w:rFonts w:ascii="Arial" w:hAnsi="Arial" w:cs="Arial"/>
          <w:sz w:val="22"/>
          <w:szCs w:val="22"/>
          <w:lang w:val="cs-CZ" w:eastAsia="cs-CZ"/>
        </w:rPr>
        <w:t>osti vedení patentových sporů a 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k přenosu pravomocí 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>náležejících dosud národním soudům na nový nadnárodní soudní orgán – Jednotný patentový soud -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 s výlučnou pravomocí, zř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>ízený</w:t>
      </w:r>
      <w:r w:rsidR="00D82BD4" w:rsidRPr="005C6407">
        <w:rPr>
          <w:rFonts w:ascii="Arial" w:hAnsi="Arial" w:cs="Arial"/>
          <w:sz w:val="22"/>
          <w:szCs w:val="22"/>
          <w:lang w:val="cs-CZ" w:eastAsia="cs-CZ"/>
        </w:rPr>
        <w:t xml:space="preserve"> Dohodou o jednotném patentovém soudu (</w:t>
      </w:r>
      <w:r w:rsidR="004B6E33" w:rsidRPr="005C6407">
        <w:rPr>
          <w:rFonts w:ascii="Arial" w:hAnsi="Arial" w:cs="Arial"/>
          <w:sz w:val="22"/>
          <w:szCs w:val="22"/>
          <w:lang w:val="cs-CZ" w:eastAsia="cs-CZ"/>
        </w:rPr>
        <w:t xml:space="preserve">jehož lokální komora, případně komora česko-slovenská, může mít sídlo v ČR). </w:t>
      </w:r>
    </w:p>
    <w:p w14:paraId="128A7FCF" w14:textId="00282191" w:rsidR="005C6407" w:rsidRPr="005C6407" w:rsidRDefault="004B6E33" w:rsidP="005C6407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Před ČR tak stojí úkol dokončení ratifikace </w:t>
      </w:r>
      <w:r w:rsidR="00876F3D" w:rsidRPr="005C6407">
        <w:rPr>
          <w:rFonts w:ascii="Arial" w:hAnsi="Arial" w:cs="Arial"/>
          <w:sz w:val="22"/>
          <w:szCs w:val="22"/>
          <w:lang w:val="cs-CZ" w:eastAsia="cs-CZ"/>
        </w:rPr>
        <w:t>a před domácími podniky úkol sžít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 se s novým systéme</w:t>
      </w:r>
      <w:r w:rsidR="00876F3D" w:rsidRPr="005C6407">
        <w:rPr>
          <w:rFonts w:ascii="Arial" w:hAnsi="Arial" w:cs="Arial"/>
          <w:sz w:val="22"/>
          <w:szCs w:val="22"/>
          <w:lang w:val="cs-CZ" w:eastAsia="cs-CZ"/>
        </w:rPr>
        <w:t>m</w:t>
      </w:r>
      <w:r w:rsidRPr="005C6407">
        <w:rPr>
          <w:rFonts w:ascii="Arial" w:hAnsi="Arial" w:cs="Arial"/>
          <w:sz w:val="22"/>
          <w:szCs w:val="22"/>
          <w:lang w:val="cs-CZ" w:eastAsia="cs-CZ"/>
        </w:rPr>
        <w:t xml:space="preserve"> ochrany, který nepochybně vychází především z potřeb a tradic velkých členských zemí EU a v nich sídlících držitelů patentů. </w:t>
      </w:r>
      <w:r w:rsidR="00876F3D" w:rsidRPr="005C6407">
        <w:rPr>
          <w:rFonts w:ascii="Arial" w:hAnsi="Arial" w:cs="Arial"/>
          <w:sz w:val="22"/>
          <w:szCs w:val="22"/>
          <w:lang w:val="cs-CZ" w:eastAsia="cs-CZ"/>
        </w:rPr>
        <w:t xml:space="preserve">České osoby samozřejmě budou </w:t>
      </w:r>
      <w:r w:rsidR="002631FB">
        <w:rPr>
          <w:rFonts w:ascii="Arial" w:hAnsi="Arial" w:cs="Arial"/>
          <w:sz w:val="22"/>
          <w:szCs w:val="22"/>
          <w:lang w:val="cs-CZ" w:eastAsia="cs-CZ"/>
        </w:rPr>
        <w:t>moci být žalovány u </w:t>
      </w:r>
      <w:r w:rsidR="00876F3D" w:rsidRPr="005C6407">
        <w:rPr>
          <w:rFonts w:ascii="Arial" w:hAnsi="Arial" w:cs="Arial"/>
          <w:sz w:val="22"/>
          <w:szCs w:val="22"/>
          <w:lang w:val="cs-CZ" w:eastAsia="cs-CZ"/>
        </w:rPr>
        <w:t>komor Jednotného patentového soudu v jiných členských zemích, a to držiteli jednotného evropského patentu nejen z členských, ale samozřejmě i ne-členských zemí, protože nový typ patentové och</w:t>
      </w:r>
      <w:r w:rsidR="00EB59BC" w:rsidRPr="005C6407">
        <w:rPr>
          <w:rFonts w:ascii="Arial" w:hAnsi="Arial" w:cs="Arial"/>
          <w:sz w:val="22"/>
          <w:szCs w:val="22"/>
          <w:lang w:val="cs-CZ" w:eastAsia="cs-CZ"/>
        </w:rPr>
        <w:t>rany bude nepochybně využíván i </w:t>
      </w:r>
      <w:r w:rsidR="00876F3D" w:rsidRPr="005C6407">
        <w:rPr>
          <w:rFonts w:ascii="Arial" w:hAnsi="Arial" w:cs="Arial"/>
          <w:sz w:val="22"/>
          <w:szCs w:val="22"/>
          <w:lang w:val="cs-CZ" w:eastAsia="cs-CZ"/>
        </w:rPr>
        <w:t>subjekty z USA,</w:t>
      </w:r>
      <w:r w:rsidR="00DB0820">
        <w:rPr>
          <w:rFonts w:ascii="Arial" w:hAnsi="Arial" w:cs="Arial"/>
          <w:sz w:val="22"/>
          <w:szCs w:val="22"/>
          <w:lang w:val="cs-CZ" w:eastAsia="cs-CZ"/>
        </w:rPr>
        <w:t xml:space="preserve"> Číny, Japonska, Jižní Koreje a z </w:t>
      </w:r>
      <w:r w:rsidR="00876F3D" w:rsidRPr="005C6407">
        <w:rPr>
          <w:rFonts w:ascii="Arial" w:hAnsi="Arial" w:cs="Arial"/>
          <w:sz w:val="22"/>
          <w:szCs w:val="22"/>
          <w:lang w:val="cs-CZ" w:eastAsia="cs-CZ"/>
        </w:rPr>
        <w:t>jiných t</w:t>
      </w:r>
      <w:r w:rsidR="00EB59BC" w:rsidRPr="005C6407">
        <w:rPr>
          <w:rFonts w:ascii="Arial" w:hAnsi="Arial" w:cs="Arial"/>
          <w:sz w:val="22"/>
          <w:szCs w:val="22"/>
          <w:lang w:val="cs-CZ" w:eastAsia="cs-CZ"/>
        </w:rPr>
        <w:t>echnologicky vyspělých lokali</w:t>
      </w:r>
      <w:r w:rsidR="005C6407" w:rsidRPr="005C6407">
        <w:rPr>
          <w:rFonts w:ascii="Arial" w:hAnsi="Arial" w:cs="Arial"/>
          <w:sz w:val="22"/>
          <w:szCs w:val="22"/>
          <w:lang w:val="cs-CZ" w:eastAsia="cs-CZ"/>
        </w:rPr>
        <w:t>t.</w:t>
      </w:r>
    </w:p>
    <w:p w14:paraId="3BB76C2F" w14:textId="77777777" w:rsidR="005C6407" w:rsidRDefault="005C6407" w:rsidP="005C6407">
      <w:pPr>
        <w:pStyle w:val="Normlnywebov"/>
        <w:jc w:val="both"/>
        <w:outlineLvl w:val="0"/>
        <w:rPr>
          <w:rFonts w:ascii="Arial" w:hAnsi="Arial" w:cs="Arial"/>
          <w:lang w:val="cs-CZ" w:eastAsia="cs-CZ"/>
        </w:rPr>
      </w:pPr>
    </w:p>
    <w:p w14:paraId="2B3B45E6" w14:textId="6A1B7DD6" w:rsidR="003963AB" w:rsidRPr="00EB59BC" w:rsidRDefault="003963AB" w:rsidP="005C6407">
      <w:pPr>
        <w:pStyle w:val="Normlnywebov"/>
        <w:jc w:val="both"/>
        <w:outlineLvl w:val="0"/>
        <w:rPr>
          <w:rFonts w:ascii="Arial" w:hAnsi="Arial" w:cs="Arial"/>
          <w:lang w:val="cs-CZ"/>
        </w:rPr>
      </w:pPr>
      <w:r w:rsidRPr="00EB59BC">
        <w:rPr>
          <w:rFonts w:ascii="Arial" w:hAnsi="Arial" w:cs="Arial"/>
          <w:b/>
          <w:bCs/>
          <w:sz w:val="32"/>
          <w:szCs w:val="32"/>
          <w:lang w:val="cs-CZ"/>
        </w:rPr>
        <w:t xml:space="preserve">Úprava a rozvoj obchodních a investičních vztahů EU </w:t>
      </w:r>
      <w:r w:rsidR="003B7D14" w:rsidRPr="00EB59BC">
        <w:rPr>
          <w:rFonts w:ascii="Arial" w:hAnsi="Arial" w:cs="Arial"/>
          <w:b/>
          <w:bCs/>
          <w:sz w:val="32"/>
          <w:szCs w:val="32"/>
          <w:lang w:val="cs-CZ"/>
        </w:rPr>
        <w:t>se</w:t>
      </w:r>
      <w:r w:rsidRPr="00EB59BC">
        <w:rPr>
          <w:rFonts w:ascii="Arial" w:hAnsi="Arial" w:cs="Arial"/>
          <w:b/>
          <w:bCs/>
          <w:sz w:val="32"/>
          <w:szCs w:val="32"/>
          <w:lang w:val="cs-CZ"/>
        </w:rPr>
        <w:t xml:space="preserve"> zbytkem světa</w:t>
      </w:r>
    </w:p>
    <w:p w14:paraId="1BF56492" w14:textId="77777777" w:rsidR="003963AB" w:rsidRPr="001E2426" w:rsidRDefault="003963AB" w:rsidP="003963AB">
      <w:pPr>
        <w:pStyle w:val="Normlnywebov"/>
        <w:jc w:val="both"/>
        <w:outlineLvl w:val="0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1E2426">
        <w:rPr>
          <w:rFonts w:ascii="Arial" w:eastAsia="Times New Roman" w:hAnsi="Arial" w:cs="Arial"/>
          <w:sz w:val="22"/>
          <w:szCs w:val="22"/>
          <w:lang w:val="cs-CZ" w:eastAsia="cs-CZ"/>
        </w:rPr>
        <w:t xml:space="preserve">Vedle plnohodnotného fungování vnitřního trhu je dalším úkolem EU efektivní regulace rozvoje jejích ekonomických vztahů se zbytkem světa. Klíčovými oblastmi jsou z tohoto hlediska obchodní a investiční dohody i zvláštní zřetel na ochranu strategických zájmů EU při přijímání přímých investic ze třetích zemí. </w:t>
      </w:r>
    </w:p>
    <w:p w14:paraId="301FEA9D" w14:textId="49709152" w:rsidR="003963AB" w:rsidRPr="001E2426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 xml:space="preserve">Evropská komise navrhla v září 2017 </w:t>
      </w:r>
      <w:r w:rsidRPr="00DB0820">
        <w:rPr>
          <w:rFonts w:ascii="Arial" w:hAnsi="Arial" w:cs="Arial"/>
          <w:b/>
          <w:sz w:val="22"/>
          <w:szCs w:val="22"/>
          <w:lang w:val="cs-CZ"/>
        </w:rPr>
        <w:t>nový přístup EU k vytváření smluvního rámce obchodních a investičních vztahů se třetími zeměmi</w:t>
      </w:r>
      <w:r w:rsidRPr="001E2426">
        <w:rPr>
          <w:rFonts w:ascii="Arial" w:hAnsi="Arial" w:cs="Arial"/>
          <w:sz w:val="22"/>
          <w:szCs w:val="22"/>
          <w:lang w:val="cs-CZ"/>
        </w:rPr>
        <w:t>.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3"/>
      </w:r>
      <w:r w:rsidRPr="001E2426">
        <w:rPr>
          <w:rFonts w:ascii="Arial" w:hAnsi="Arial" w:cs="Arial"/>
          <w:sz w:val="22"/>
          <w:szCs w:val="22"/>
          <w:lang w:val="cs-CZ"/>
        </w:rPr>
        <w:t xml:space="preserve"> Polit</w:t>
      </w:r>
      <w:r w:rsidR="00DB0820">
        <w:rPr>
          <w:rFonts w:ascii="Arial" w:hAnsi="Arial" w:cs="Arial"/>
          <w:sz w:val="22"/>
          <w:szCs w:val="22"/>
          <w:lang w:val="cs-CZ"/>
        </w:rPr>
        <w:t>icky, ekonomicky i právně jde o 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věc dalekosáhlého významu, neboť vedle pozice EU v mezinárodním obchodě a investicích, jde </w:t>
      </w:r>
      <w:r w:rsidRPr="001E2426">
        <w:rPr>
          <w:rFonts w:ascii="Arial" w:hAnsi="Arial" w:cs="Arial"/>
          <w:sz w:val="22"/>
          <w:szCs w:val="22"/>
          <w:lang w:val="cs-CZ"/>
        </w:rPr>
        <w:lastRenderedPageBreak/>
        <w:t>i</w:t>
      </w:r>
      <w:r w:rsidR="00DB0820">
        <w:rPr>
          <w:rFonts w:ascii="Arial" w:hAnsi="Arial" w:cs="Arial"/>
          <w:sz w:val="22"/>
          <w:szCs w:val="22"/>
          <w:lang w:val="cs-CZ"/>
        </w:rPr>
        <w:t> </w:t>
      </w:r>
      <w:r w:rsidRPr="001E2426">
        <w:rPr>
          <w:rFonts w:ascii="Arial" w:hAnsi="Arial" w:cs="Arial"/>
          <w:sz w:val="22"/>
          <w:szCs w:val="22"/>
          <w:lang w:val="cs-CZ"/>
        </w:rPr>
        <w:t>o</w:t>
      </w:r>
      <w:r w:rsidR="00DB0820">
        <w:rPr>
          <w:rFonts w:ascii="Arial" w:hAnsi="Arial" w:cs="Arial"/>
          <w:sz w:val="22"/>
          <w:szCs w:val="22"/>
          <w:lang w:val="cs-CZ"/>
        </w:rPr>
        <w:t> 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rozdělení pravomocí mezi EU a členské státy, což staví každý členský stát před další (tentokrát zahraničně-obchodní a investiční) verzi klíčové otázky: Do jak hluboce integrované EU chce patřit? Jak chce v rámci integračního celku hájit své specifické zájmy? </w:t>
      </w:r>
    </w:p>
    <w:p w14:paraId="7F59217F" w14:textId="058CB28C" w:rsidR="001E2426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 xml:space="preserve">Oblast obchodu se třetími zeměmi je pro evropskou integraci příběhem </w:t>
      </w:r>
      <w:r w:rsidRPr="00DB0820">
        <w:rPr>
          <w:rFonts w:ascii="Arial" w:hAnsi="Arial" w:cs="Arial"/>
          <w:b/>
          <w:sz w:val="22"/>
          <w:szCs w:val="22"/>
          <w:lang w:val="cs-CZ"/>
        </w:rPr>
        <w:t>postupného přenosu pravomocí z členských států na nadnárodní struktury integrace</w:t>
      </w:r>
      <w:r w:rsidRPr="001E2426">
        <w:rPr>
          <w:rFonts w:ascii="Arial" w:hAnsi="Arial" w:cs="Arial"/>
          <w:sz w:val="22"/>
          <w:szCs w:val="22"/>
          <w:lang w:val="cs-CZ"/>
        </w:rPr>
        <w:t>. Ačkoli Římská smlouva (1957) nebyla v tomto ohledu jednoznačná, Soudní dvůr EHS v polovině 70. let shledal, že společná obchodní politika byla členskými státy předána do výlučné pravomoci EHS. Následně dovodil i to, že tato výlučná pravomoc nezahrnuje jen odstraňování překážek v obchodu se zbožím s třetími zeměmi, ale i regulaci tohoto obchodu, tedy harmonizaci jeho podmínek na globální úrovni.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4"/>
      </w:r>
      <w:r w:rsidR="00223189">
        <w:rPr>
          <w:rFonts w:ascii="Arial" w:hAnsi="Arial" w:cs="Arial"/>
          <w:sz w:val="22"/>
          <w:szCs w:val="22"/>
          <w:lang w:val="cs-CZ"/>
        </w:rPr>
        <w:t xml:space="preserve"> K </w:t>
      </w:r>
      <w:r w:rsidRPr="001E2426">
        <w:rPr>
          <w:rFonts w:ascii="Arial" w:hAnsi="Arial" w:cs="Arial"/>
          <w:sz w:val="22"/>
          <w:szCs w:val="22"/>
          <w:lang w:val="cs-CZ"/>
        </w:rPr>
        <w:t>dalšímu svěření pravomocí do rukou EU pak došlo noveliz</w:t>
      </w:r>
      <w:r w:rsidR="00223189">
        <w:rPr>
          <w:rFonts w:ascii="Arial" w:hAnsi="Arial" w:cs="Arial"/>
          <w:sz w:val="22"/>
          <w:szCs w:val="22"/>
          <w:lang w:val="cs-CZ"/>
        </w:rPr>
        <w:t>ací základních Smluv. Smlouva z </w:t>
      </w:r>
      <w:r w:rsidRPr="001E2426">
        <w:rPr>
          <w:rFonts w:ascii="Arial" w:hAnsi="Arial" w:cs="Arial"/>
          <w:sz w:val="22"/>
          <w:szCs w:val="22"/>
          <w:lang w:val="cs-CZ"/>
        </w:rPr>
        <w:t>Nice (2001) umožnila zahrnout do společné obchodní po</w:t>
      </w:r>
      <w:r w:rsidR="00223189">
        <w:rPr>
          <w:rFonts w:ascii="Arial" w:hAnsi="Arial" w:cs="Arial"/>
          <w:sz w:val="22"/>
          <w:szCs w:val="22"/>
          <w:lang w:val="cs-CZ"/>
        </w:rPr>
        <w:t>litiky i obchod se službami a s 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komerčními aspekty duševního vlastnictví, tyto novinky však svěřila do tzv. sdílené pravomoci mezi EU a členskými státy, nikoli do výlučné kompetence EU. Tento přesun završila až Lisabonská smlouva (2007), která s účinností od 1. 12. 2009 stanovila, že obchod se službami, obchodními aspekty duševního vlastnictví, jakož i přímé zahraniční investice, přecházejí do výlučné pravomoci EU (čl. 207 odst. 1 SFEU). </w:t>
      </w:r>
    </w:p>
    <w:p w14:paraId="6598ABDB" w14:textId="340E4DE7" w:rsidR="003963AB" w:rsidRPr="001E2426" w:rsidRDefault="001E2426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>Š</w:t>
      </w:r>
      <w:r w:rsidR="003963AB" w:rsidRPr="001E2426">
        <w:rPr>
          <w:rFonts w:ascii="Arial" w:hAnsi="Arial" w:cs="Arial"/>
          <w:sz w:val="22"/>
          <w:szCs w:val="22"/>
          <w:lang w:val="cs-CZ"/>
        </w:rPr>
        <w:t xml:space="preserve">lo o zásadní přesun pravomocí ve prospěch EU, avšak výsledkem nesnadno dojednávaného kompromisu byla nejen </w:t>
      </w:r>
      <w:r w:rsidR="003963AB" w:rsidRPr="006A143D">
        <w:rPr>
          <w:rFonts w:ascii="Arial" w:hAnsi="Arial" w:cs="Arial"/>
          <w:b/>
          <w:sz w:val="22"/>
          <w:szCs w:val="22"/>
          <w:lang w:val="cs-CZ"/>
        </w:rPr>
        <w:t>řada procesních „pojistek“</w:t>
      </w:r>
      <w:r w:rsidR="003963AB" w:rsidRPr="001E2426">
        <w:rPr>
          <w:rFonts w:ascii="Arial" w:hAnsi="Arial" w:cs="Arial"/>
          <w:sz w:val="22"/>
          <w:szCs w:val="22"/>
          <w:lang w:val="cs-CZ"/>
        </w:rPr>
        <w:t xml:space="preserve"> zajišťujících možnost ochrany zájmů každého jednotlivého členského státu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5"/>
      </w:r>
      <w:r w:rsidR="003963AB" w:rsidRPr="001E2426">
        <w:rPr>
          <w:rFonts w:ascii="Arial" w:hAnsi="Arial" w:cs="Arial"/>
          <w:sz w:val="22"/>
          <w:szCs w:val="22"/>
          <w:lang w:val="cs-CZ"/>
        </w:rPr>
        <w:t>, ale i formulačních nejasností, o nichž se od podpisu Lisabonské smlouvy vedly v odborné literatuře spory.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6"/>
      </w:r>
      <w:r w:rsidR="003963AB" w:rsidRPr="001E2426">
        <w:rPr>
          <w:rFonts w:ascii="Arial" w:hAnsi="Arial" w:cs="Arial"/>
          <w:sz w:val="22"/>
          <w:szCs w:val="22"/>
          <w:lang w:val="cs-CZ"/>
        </w:rPr>
        <w:t xml:space="preserve"> Z hlediska zájmu o to „mít poslední slovo“ tak nebyl Lisabonskou vyřešen střet mezi tendencí Komise EU vyjednávat o vnějších obchodně-investičních vztazích komplexně a jednotně, což by odpovídalo maximálnímu rozsahu výlučných pravomocí EU, a z druhé strany snahou členských států zachova</w:t>
      </w:r>
      <w:r w:rsidR="00223189">
        <w:rPr>
          <w:rFonts w:ascii="Arial" w:hAnsi="Arial" w:cs="Arial"/>
          <w:sz w:val="22"/>
          <w:szCs w:val="22"/>
          <w:lang w:val="cs-CZ"/>
        </w:rPr>
        <w:t>t si nezávislý vliv na podobu a </w:t>
      </w:r>
      <w:r w:rsidR="003963AB" w:rsidRPr="001E2426">
        <w:rPr>
          <w:rFonts w:ascii="Arial" w:hAnsi="Arial" w:cs="Arial"/>
          <w:sz w:val="22"/>
          <w:szCs w:val="22"/>
          <w:lang w:val="cs-CZ"/>
        </w:rPr>
        <w:t>schválení těchto dohod, tedy udržet jejich smíšenou podobu. Praktický význam spočívá v tom, že u smluv uzavíraných ve výlučné pravomoci se vyžaduje pouze souhlasu zástupců členských států v Radě a také souhlasu Evropského parlamentu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7"/>
      </w:r>
      <w:r w:rsidR="003963AB" w:rsidRPr="001E2426">
        <w:rPr>
          <w:rFonts w:ascii="Arial" w:hAnsi="Arial" w:cs="Arial"/>
          <w:sz w:val="22"/>
          <w:szCs w:val="22"/>
          <w:lang w:val="cs-CZ"/>
        </w:rPr>
        <w:t xml:space="preserve">, naopak u smluv smíšených toto nestačí, neboť všechny členské státy ratifikují tyto smlouvy v souladu se svými vnitrostátními předpisy </w:t>
      </w:r>
      <w:r w:rsidR="003963AB" w:rsidRPr="001E2426">
        <w:rPr>
          <w:rFonts w:ascii="Arial" w:hAnsi="Arial" w:cs="Arial"/>
          <w:sz w:val="22"/>
          <w:szCs w:val="22"/>
          <w:lang w:val="cs-CZ"/>
        </w:rPr>
        <w:lastRenderedPageBreak/>
        <w:t>(což vzhledem k vnitřnímu uspořádání moci v členských státech aktuálně může znamenat až souhlas 38 parlamentů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8"/>
      </w:r>
      <w:r w:rsidR="003963AB" w:rsidRPr="001E2426">
        <w:rPr>
          <w:rFonts w:ascii="Arial" w:hAnsi="Arial" w:cs="Arial"/>
          <w:sz w:val="22"/>
          <w:szCs w:val="22"/>
          <w:lang w:val="cs-CZ"/>
        </w:rPr>
        <w:t xml:space="preserve">).  </w:t>
      </w:r>
    </w:p>
    <w:p w14:paraId="2D05CCCC" w14:textId="2263F94A" w:rsidR="003963AB" w:rsidRPr="001E2426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6A143D">
        <w:rPr>
          <w:rFonts w:ascii="Arial" w:hAnsi="Arial" w:cs="Arial"/>
          <w:b/>
          <w:sz w:val="22"/>
          <w:szCs w:val="22"/>
          <w:lang w:val="cs-CZ"/>
        </w:rPr>
        <w:t xml:space="preserve">Vyjednat smíšenou smlouvu je </w:t>
      </w:r>
      <w:r w:rsidRPr="006A143D">
        <w:rPr>
          <w:rFonts w:ascii="Arial" w:hAnsi="Arial" w:cs="Arial"/>
          <w:sz w:val="22"/>
          <w:szCs w:val="22"/>
          <w:lang w:val="cs-CZ"/>
        </w:rPr>
        <w:t>proto</w:t>
      </w:r>
      <w:r w:rsidRPr="006A143D">
        <w:rPr>
          <w:rFonts w:ascii="Arial" w:hAnsi="Arial" w:cs="Arial"/>
          <w:b/>
          <w:sz w:val="22"/>
          <w:szCs w:val="22"/>
          <w:lang w:val="cs-CZ"/>
        </w:rPr>
        <w:t xml:space="preserve"> pro EU dvojnásob složité</w:t>
      </w:r>
      <w:r w:rsidRPr="001E2426">
        <w:rPr>
          <w:rFonts w:ascii="Arial" w:hAnsi="Arial" w:cs="Arial"/>
          <w:sz w:val="22"/>
          <w:szCs w:val="22"/>
          <w:lang w:val="cs-CZ"/>
        </w:rPr>
        <w:t>. Hrozí kolize nejen mezi tím, jaký kompromis lze dosáhnout se zahraničním partnerem, a tím, jaký převažuje názor uvnitř orgánů EU, ale přibývá další zdroj kolizí, kterým je pestrost zájmů i momentálníc</w:t>
      </w:r>
      <w:r w:rsidR="002631FB">
        <w:rPr>
          <w:rFonts w:ascii="Arial" w:hAnsi="Arial" w:cs="Arial"/>
          <w:sz w:val="22"/>
          <w:szCs w:val="22"/>
          <w:lang w:val="cs-CZ"/>
        </w:rPr>
        <w:t>h politických a </w:t>
      </w:r>
      <w:r w:rsidRPr="001E2426">
        <w:rPr>
          <w:rFonts w:ascii="Arial" w:hAnsi="Arial" w:cs="Arial"/>
          <w:sz w:val="22"/>
          <w:szCs w:val="22"/>
          <w:lang w:val="cs-CZ"/>
        </w:rPr>
        <w:t>ekonomických konjunktur v členských státech, bez jejichž souhlasu se smlouva nedočká konečné ratifikace. Aktuální ukázkou těchto obtíží je osud komplexní obchodní a investiční dohody „nové generace“ CETA mezi EU a Kanadou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9"/>
      </w:r>
      <w:r w:rsidRPr="001E2426">
        <w:rPr>
          <w:rFonts w:ascii="Arial" w:hAnsi="Arial" w:cs="Arial"/>
          <w:sz w:val="22"/>
          <w:szCs w:val="22"/>
          <w:lang w:val="cs-CZ"/>
        </w:rPr>
        <w:t>, proti níž se nejprve postavil parlament valonského regionu Belgie, a jejíž část týkající se systému řešení investičních sporů aktuálně zkoumá Soudní dvůr EU na základě Belgií podané žádosti o posudek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0"/>
      </w:r>
      <w:r w:rsidRPr="001E2426">
        <w:rPr>
          <w:rFonts w:ascii="Arial" w:hAnsi="Arial" w:cs="Arial"/>
          <w:sz w:val="22"/>
          <w:szCs w:val="22"/>
          <w:lang w:val="cs-CZ"/>
        </w:rPr>
        <w:t xml:space="preserve"> (jehož vyznění bude pro EU závazné). </w:t>
      </w:r>
    </w:p>
    <w:p w14:paraId="6FA7C21B" w14:textId="67F88571" w:rsidR="002F332E" w:rsidRPr="001E2426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 xml:space="preserve">Podstatné vyjasnění do tohoto „přetahování“ o kompetence vnesl </w:t>
      </w:r>
      <w:r w:rsidR="001679F4" w:rsidRPr="001E2426">
        <w:rPr>
          <w:rFonts w:ascii="Arial" w:hAnsi="Arial" w:cs="Arial"/>
          <w:sz w:val="22"/>
          <w:szCs w:val="22"/>
          <w:lang w:val="cs-CZ"/>
        </w:rPr>
        <w:t>–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 a nový přístup Evropské komise si vynutil </w:t>
      </w:r>
      <w:r w:rsidR="001679F4" w:rsidRPr="001E2426">
        <w:rPr>
          <w:rFonts w:ascii="Arial" w:hAnsi="Arial" w:cs="Arial"/>
          <w:sz w:val="22"/>
          <w:szCs w:val="22"/>
          <w:lang w:val="cs-CZ"/>
        </w:rPr>
        <w:t>–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 </w:t>
      </w:r>
      <w:r w:rsidRPr="006A143D">
        <w:rPr>
          <w:rFonts w:ascii="Arial" w:hAnsi="Arial" w:cs="Arial"/>
          <w:b/>
          <w:sz w:val="22"/>
          <w:szCs w:val="22"/>
          <w:lang w:val="cs-CZ"/>
        </w:rPr>
        <w:t>posudek 2/15 vydaný v květnu 2017 plénem Soudního dvora EU</w:t>
      </w:r>
      <w:r w:rsidR="002F332E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1"/>
      </w:r>
      <w:r w:rsidR="006A143D">
        <w:rPr>
          <w:rFonts w:ascii="Arial" w:hAnsi="Arial" w:cs="Arial"/>
          <w:sz w:val="22"/>
          <w:szCs w:val="22"/>
          <w:lang w:val="cs-CZ"/>
        </w:rPr>
        <w:t xml:space="preserve"> k 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obdobně </w:t>
      </w:r>
      <w:r w:rsidRPr="006A143D">
        <w:rPr>
          <w:rFonts w:ascii="Arial" w:hAnsi="Arial" w:cs="Arial"/>
          <w:b/>
          <w:sz w:val="22"/>
          <w:szCs w:val="22"/>
          <w:lang w:val="cs-CZ"/>
        </w:rPr>
        <w:t>komplexní dohodě vyjednané mezi EU a Singapurem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 (parafované již v červnu 2015). Komise se Soudního dvora zeptala, zda má EU samotná pravomoc uzavřít obchodní dohodu se Singapurem, resp. zda a která ustanovení dohody spadají do kompete</w:t>
      </w:r>
      <w:r w:rsidR="006A143D">
        <w:rPr>
          <w:rFonts w:ascii="Arial" w:hAnsi="Arial" w:cs="Arial"/>
          <w:sz w:val="22"/>
          <w:szCs w:val="22"/>
          <w:lang w:val="cs-CZ"/>
        </w:rPr>
        <w:t>ncí, jež sdílí s 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členskými státy, případně do kompetencí, které si členské státy ponechaly pro sebe. Komise měla za to, že dohoda spadá jako celek do výlučné pravomoci EU, Rada a všechny vyjadřující se členské státy (včetně ČR) shodně tvrdily, že jde o dohodu smíšenou. Soudní dvůr posoudil věc následovně. </w:t>
      </w:r>
    </w:p>
    <w:p w14:paraId="26F81064" w14:textId="77777777" w:rsidR="001E2426" w:rsidRDefault="003963AB" w:rsidP="001E2426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6A143D">
        <w:rPr>
          <w:rFonts w:ascii="Arial" w:hAnsi="Arial" w:cs="Arial"/>
          <w:b/>
          <w:sz w:val="22"/>
          <w:szCs w:val="22"/>
          <w:lang w:val="cs-CZ"/>
        </w:rPr>
        <w:t>Do výlučné pravomoci EU patří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 (a tedy pouze schválení orgány EU stačí k tomu, aby dohoda zavázala EU i její členské státy): </w:t>
      </w:r>
    </w:p>
    <w:p w14:paraId="1E4D1DF5" w14:textId="77777777" w:rsidR="001E2426" w:rsidRDefault="003963AB" w:rsidP="001E2426">
      <w:pPr>
        <w:pStyle w:val="Normlnywebov"/>
        <w:numPr>
          <w:ilvl w:val="0"/>
          <w:numId w:val="5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 xml:space="preserve">Úprava podmínek pro přístup zboží a služeb (i dopravních) na trhy EU a </w:t>
      </w:r>
      <w:r w:rsidR="001679F4" w:rsidRPr="001E2426">
        <w:rPr>
          <w:rFonts w:ascii="Arial" w:hAnsi="Arial" w:cs="Arial"/>
          <w:sz w:val="22"/>
          <w:szCs w:val="22"/>
          <w:lang w:val="cs-CZ"/>
        </w:rPr>
        <w:tab/>
      </w:r>
      <w:r w:rsidR="001E2426">
        <w:rPr>
          <w:rFonts w:ascii="Arial" w:hAnsi="Arial" w:cs="Arial"/>
          <w:sz w:val="22"/>
          <w:szCs w:val="22"/>
          <w:lang w:val="cs-CZ"/>
        </w:rPr>
        <w:t xml:space="preserve">Singapuru, </w:t>
      </w:r>
      <w:r w:rsidRPr="001E2426">
        <w:rPr>
          <w:rFonts w:ascii="Arial" w:hAnsi="Arial" w:cs="Arial"/>
          <w:sz w:val="22"/>
          <w:szCs w:val="22"/>
          <w:lang w:val="cs-CZ"/>
        </w:rPr>
        <w:t>vč</w:t>
      </w:r>
      <w:r w:rsidR="001E2426">
        <w:rPr>
          <w:rFonts w:ascii="Arial" w:hAnsi="Arial" w:cs="Arial"/>
          <w:sz w:val="22"/>
          <w:szCs w:val="22"/>
          <w:lang w:val="cs-CZ"/>
        </w:rPr>
        <w:t xml:space="preserve">etně </w:t>
      </w:r>
      <w:r w:rsidRPr="001E2426">
        <w:rPr>
          <w:rFonts w:ascii="Arial" w:hAnsi="Arial" w:cs="Arial"/>
          <w:sz w:val="22"/>
          <w:szCs w:val="22"/>
          <w:lang w:val="cs-CZ"/>
        </w:rPr>
        <w:t>úpravy veřejných zakázek a výroby energie z nefosilních zdrojů.</w:t>
      </w:r>
    </w:p>
    <w:p w14:paraId="2BAEB1CE" w14:textId="77777777" w:rsidR="001E2426" w:rsidRDefault="003963AB" w:rsidP="001E2426">
      <w:pPr>
        <w:pStyle w:val="Normlnywebov"/>
        <w:numPr>
          <w:ilvl w:val="0"/>
          <w:numId w:val="5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>Úprava ochrany přímých zahraničních investi</w:t>
      </w:r>
      <w:r w:rsidR="001E2426">
        <w:rPr>
          <w:rFonts w:ascii="Arial" w:hAnsi="Arial" w:cs="Arial"/>
          <w:sz w:val="22"/>
          <w:szCs w:val="22"/>
          <w:lang w:val="cs-CZ"/>
        </w:rPr>
        <w:t>c Singapurských subjektů v EU a naopak.</w:t>
      </w:r>
    </w:p>
    <w:p w14:paraId="57FFDDFB" w14:textId="77777777" w:rsidR="001E2426" w:rsidRDefault="003963AB" w:rsidP="001E2426">
      <w:pPr>
        <w:pStyle w:val="Normlnywebov"/>
        <w:numPr>
          <w:ilvl w:val="0"/>
          <w:numId w:val="5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>Úprava týkající se obchodu s právy duševního vlastnictví.</w:t>
      </w:r>
    </w:p>
    <w:p w14:paraId="078BC669" w14:textId="77777777" w:rsidR="001E2426" w:rsidRDefault="003963AB" w:rsidP="001E2426">
      <w:pPr>
        <w:pStyle w:val="Normlnywebov"/>
        <w:numPr>
          <w:ilvl w:val="0"/>
          <w:numId w:val="5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 xml:space="preserve">Úprava boje s narušeními hospodářské soutěže (spojení podniků, monopoly, </w:t>
      </w:r>
      <w:r w:rsidR="001679F4" w:rsidRPr="001E2426">
        <w:rPr>
          <w:rFonts w:ascii="Arial" w:hAnsi="Arial" w:cs="Arial"/>
          <w:sz w:val="22"/>
          <w:szCs w:val="22"/>
          <w:lang w:val="cs-CZ"/>
        </w:rPr>
        <w:tab/>
      </w:r>
      <w:r w:rsidR="001E2426">
        <w:rPr>
          <w:rFonts w:ascii="Arial" w:hAnsi="Arial" w:cs="Arial"/>
          <w:sz w:val="22"/>
          <w:szCs w:val="22"/>
          <w:lang w:val="cs-CZ"/>
        </w:rPr>
        <w:t xml:space="preserve">veřejná </w:t>
      </w:r>
      <w:r w:rsidRPr="001E2426">
        <w:rPr>
          <w:rFonts w:ascii="Arial" w:hAnsi="Arial" w:cs="Arial"/>
          <w:sz w:val="22"/>
          <w:szCs w:val="22"/>
          <w:lang w:val="cs-CZ"/>
        </w:rPr>
        <w:t>podpora).</w:t>
      </w:r>
    </w:p>
    <w:p w14:paraId="60271CDC" w14:textId="77777777" w:rsidR="001E2426" w:rsidRDefault="003963AB" w:rsidP="001E2426">
      <w:pPr>
        <w:pStyle w:val="Normlnywebov"/>
        <w:numPr>
          <w:ilvl w:val="0"/>
          <w:numId w:val="5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>Úprava podmínek udržitelného rozvoje.</w:t>
      </w:r>
    </w:p>
    <w:p w14:paraId="4A7A47B1" w14:textId="09B782F1" w:rsidR="003963AB" w:rsidRPr="001E2426" w:rsidRDefault="003963AB" w:rsidP="001E2426">
      <w:pPr>
        <w:pStyle w:val="Normlnywebov"/>
        <w:numPr>
          <w:ilvl w:val="0"/>
          <w:numId w:val="5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 xml:space="preserve">Úprava podmínek výměny informací, notifikací, verifikací, spolupráce, mediace, </w:t>
      </w:r>
      <w:r w:rsidRPr="001E2426">
        <w:rPr>
          <w:rFonts w:ascii="Arial" w:hAnsi="Arial" w:cs="Arial"/>
          <w:sz w:val="22"/>
          <w:szCs w:val="22"/>
          <w:lang w:val="cs-CZ"/>
        </w:rPr>
        <w:tab/>
        <w:t xml:space="preserve">transparentnosti a urovnání sporů mezi stranami dohody. </w:t>
      </w:r>
    </w:p>
    <w:p w14:paraId="4F9AFF05" w14:textId="77777777" w:rsidR="006A143D" w:rsidRDefault="006A143D" w:rsidP="006A143D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14:paraId="7C2C1EEB" w14:textId="77777777" w:rsidR="006A143D" w:rsidRDefault="006A143D" w:rsidP="006A143D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14:paraId="501D40DE" w14:textId="4EFA8779" w:rsidR="003963AB" w:rsidRPr="001E2426" w:rsidRDefault="003963AB" w:rsidP="006A143D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lastRenderedPageBreak/>
        <w:t xml:space="preserve">Naopak, </w:t>
      </w:r>
      <w:r w:rsidRPr="006A143D">
        <w:rPr>
          <w:rFonts w:ascii="Arial" w:hAnsi="Arial" w:cs="Arial"/>
          <w:b/>
          <w:sz w:val="22"/>
          <w:szCs w:val="22"/>
          <w:lang w:val="cs-CZ"/>
        </w:rPr>
        <w:t>do výlučné pravomoci EU nespadají</w:t>
      </w:r>
      <w:r w:rsidRPr="001E2426">
        <w:rPr>
          <w:rFonts w:ascii="Arial" w:hAnsi="Arial" w:cs="Arial"/>
          <w:sz w:val="22"/>
          <w:szCs w:val="22"/>
          <w:lang w:val="cs-CZ"/>
        </w:rPr>
        <w:t xml:space="preserve"> (a smíšenou dohodu schválenou nejen orgány EU, ale ratifikovanou i všem členskými státy vyžadují): </w:t>
      </w:r>
    </w:p>
    <w:p w14:paraId="0D4E7040" w14:textId="0A14471C" w:rsidR="003963AB" w:rsidRPr="001E2426" w:rsidRDefault="003963AB" w:rsidP="001E2426">
      <w:pPr>
        <w:pStyle w:val="Normlnywebov"/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1E2426">
        <w:rPr>
          <w:rFonts w:ascii="Arial" w:hAnsi="Arial" w:cs="Arial"/>
          <w:sz w:val="22"/>
          <w:szCs w:val="22"/>
          <w:lang w:val="cs-CZ"/>
        </w:rPr>
        <w:t>Úprava nepřímých (portfoliových) zahraničních investic.</w:t>
      </w:r>
      <w:r w:rsidR="00653031" w:rsidRPr="001E2426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2"/>
      </w:r>
      <w:r w:rsidRPr="001E242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8754C35" w14:textId="01A9F4F1" w:rsidR="00462B53" w:rsidRPr="00462B53" w:rsidRDefault="003963AB" w:rsidP="00462B53">
      <w:pPr>
        <w:pStyle w:val="Normlnywebov"/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Úprava podmínek řešení sporů mezi investory a stranami dohody.  </w:t>
      </w:r>
    </w:p>
    <w:p w14:paraId="1D33FC1A" w14:textId="58E29B86" w:rsidR="003963AB" w:rsidRPr="00462B53" w:rsidRDefault="003963AB" w:rsidP="00462B53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Následující tabulka podrobněji shrnuje závěry Soudního dvora ohledně kompetencí (v kontrastu se stanoviskem Generální advokátky SD ke stejné věci): </w:t>
      </w:r>
    </w:p>
    <w:p w14:paraId="36EDCB9C" w14:textId="0E758582" w:rsidR="00492402" w:rsidRPr="001E2426" w:rsidRDefault="00492402" w:rsidP="00492402">
      <w:pPr>
        <w:rPr>
          <w:rFonts w:ascii="Arial" w:hAnsi="Arial" w:cs="Arial"/>
          <w:b/>
          <w:sz w:val="22"/>
          <w:szCs w:val="22"/>
          <w:lang w:val="cs-CZ"/>
        </w:rPr>
      </w:pPr>
      <w:r w:rsidRPr="001E2426">
        <w:rPr>
          <w:rFonts w:ascii="Arial" w:hAnsi="Arial" w:cs="Arial"/>
          <w:b/>
          <w:sz w:val="22"/>
          <w:szCs w:val="22"/>
          <w:lang w:val="cs-CZ"/>
        </w:rPr>
        <w:t xml:space="preserve">Tabulka 5: </w:t>
      </w:r>
      <w:r w:rsidR="001817D5" w:rsidRPr="001E2426">
        <w:rPr>
          <w:rFonts w:ascii="Arial" w:hAnsi="Arial" w:cs="Arial"/>
          <w:b/>
          <w:sz w:val="22"/>
          <w:szCs w:val="22"/>
          <w:lang w:val="cs-CZ"/>
        </w:rPr>
        <w:t>Pravomoci EU k uzavírání obchodně-investičních dohod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4"/>
        <w:gridCol w:w="3297"/>
        <w:gridCol w:w="2700"/>
        <w:gridCol w:w="2599"/>
      </w:tblGrid>
      <w:tr w:rsidR="001817D5" w:rsidRPr="001E2426" w14:paraId="18680C5B" w14:textId="77777777" w:rsidTr="001817D5">
        <w:tc>
          <w:tcPr>
            <w:tcW w:w="686" w:type="dxa"/>
          </w:tcPr>
          <w:p w14:paraId="0F879476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3185" w:type="dxa"/>
          </w:tcPr>
          <w:p w14:paraId="5F572CA3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Kapitola dohody</w:t>
            </w:r>
          </w:p>
        </w:tc>
        <w:tc>
          <w:tcPr>
            <w:tcW w:w="2787" w:type="dxa"/>
          </w:tcPr>
          <w:p w14:paraId="2E5844C7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podle Generálního advokáta</w:t>
            </w:r>
          </w:p>
        </w:tc>
        <w:tc>
          <w:tcPr>
            <w:tcW w:w="2692" w:type="dxa"/>
          </w:tcPr>
          <w:p w14:paraId="0B535EC9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Podle Soudního dvora</w:t>
            </w:r>
          </w:p>
        </w:tc>
      </w:tr>
      <w:tr w:rsidR="001817D5" w:rsidRPr="001E2426" w14:paraId="674788C9" w14:textId="77777777" w:rsidTr="001817D5">
        <w:tc>
          <w:tcPr>
            <w:tcW w:w="686" w:type="dxa"/>
          </w:tcPr>
          <w:p w14:paraId="6AAEAF89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85" w:type="dxa"/>
          </w:tcPr>
          <w:p w14:paraId="4A91089D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Cíle a obecné definice</w:t>
            </w:r>
          </w:p>
        </w:tc>
        <w:tc>
          <w:tcPr>
            <w:tcW w:w="2787" w:type="dxa"/>
            <w:shd w:val="clear" w:color="auto" w:fill="92D050"/>
          </w:tcPr>
          <w:p w14:paraId="390453D1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E2EFD9" w:themeFill="accent6" w:themeFillTint="33"/>
          </w:tcPr>
          <w:p w14:paraId="7610382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</w:tr>
      <w:tr w:rsidR="001817D5" w:rsidRPr="001E2426" w14:paraId="7F58BDEB" w14:textId="77777777" w:rsidTr="001817D5">
        <w:tc>
          <w:tcPr>
            <w:tcW w:w="686" w:type="dxa"/>
          </w:tcPr>
          <w:p w14:paraId="3E5765A8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85" w:type="dxa"/>
          </w:tcPr>
          <w:p w14:paraId="39E3A151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Národní zacházení a přístup na trh zboží</w:t>
            </w:r>
          </w:p>
        </w:tc>
        <w:tc>
          <w:tcPr>
            <w:tcW w:w="2787" w:type="dxa"/>
            <w:shd w:val="clear" w:color="auto" w:fill="92D050"/>
          </w:tcPr>
          <w:p w14:paraId="6CB07E9C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92D050"/>
          </w:tcPr>
          <w:p w14:paraId="49F60CE0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484AFEEE" w14:textId="77777777" w:rsidTr="001817D5">
        <w:tc>
          <w:tcPr>
            <w:tcW w:w="686" w:type="dxa"/>
          </w:tcPr>
          <w:p w14:paraId="0A7AEAB1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85" w:type="dxa"/>
          </w:tcPr>
          <w:p w14:paraId="288A47C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 xml:space="preserve">Obchodně-ochranná opatření </w:t>
            </w:r>
          </w:p>
        </w:tc>
        <w:tc>
          <w:tcPr>
            <w:tcW w:w="2787" w:type="dxa"/>
            <w:shd w:val="clear" w:color="auto" w:fill="92D050"/>
          </w:tcPr>
          <w:p w14:paraId="5BEFFE45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92D050"/>
          </w:tcPr>
          <w:p w14:paraId="20FA95A1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2CD0CB67" w14:textId="77777777" w:rsidTr="001817D5">
        <w:tc>
          <w:tcPr>
            <w:tcW w:w="686" w:type="dxa"/>
          </w:tcPr>
          <w:p w14:paraId="0022C835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85" w:type="dxa"/>
          </w:tcPr>
          <w:p w14:paraId="5167414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Technické překážky obchodu</w:t>
            </w:r>
          </w:p>
        </w:tc>
        <w:tc>
          <w:tcPr>
            <w:tcW w:w="2787" w:type="dxa"/>
            <w:shd w:val="clear" w:color="auto" w:fill="92D050"/>
          </w:tcPr>
          <w:p w14:paraId="013FA766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92D050"/>
          </w:tcPr>
          <w:p w14:paraId="02059FD1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289D1462" w14:textId="77777777" w:rsidTr="001817D5">
        <w:tc>
          <w:tcPr>
            <w:tcW w:w="686" w:type="dxa"/>
          </w:tcPr>
          <w:p w14:paraId="6117EF6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85" w:type="dxa"/>
          </w:tcPr>
          <w:p w14:paraId="6E48A184" w14:textId="77777777" w:rsidR="001817D5" w:rsidRPr="001E2426" w:rsidRDefault="001817D5" w:rsidP="001E2426">
            <w:pPr>
              <w:pStyle w:val="PredformtovanHTML"/>
              <w:shd w:val="clear" w:color="auto" w:fill="FFFFFF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 w:rsidRPr="001E242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E2426">
              <w:rPr>
                <w:rFonts w:ascii="Arial" w:hAnsi="Arial" w:cs="Arial"/>
                <w:b/>
                <w:color w:val="212121"/>
                <w:sz w:val="22"/>
                <w:szCs w:val="22"/>
              </w:rPr>
              <w:t>anitární a fytosanitární opatření</w:t>
            </w:r>
          </w:p>
        </w:tc>
        <w:tc>
          <w:tcPr>
            <w:tcW w:w="2787" w:type="dxa"/>
            <w:shd w:val="clear" w:color="auto" w:fill="92D050"/>
          </w:tcPr>
          <w:p w14:paraId="73692B9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92D050"/>
          </w:tcPr>
          <w:p w14:paraId="24BAAD7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0C989E21" w14:textId="77777777" w:rsidTr="001817D5">
        <w:tc>
          <w:tcPr>
            <w:tcW w:w="686" w:type="dxa"/>
          </w:tcPr>
          <w:p w14:paraId="2D23B3E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85" w:type="dxa"/>
          </w:tcPr>
          <w:p w14:paraId="4DB905D2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Celní a obchodní úlevy</w:t>
            </w:r>
          </w:p>
        </w:tc>
        <w:tc>
          <w:tcPr>
            <w:tcW w:w="2787" w:type="dxa"/>
            <w:shd w:val="clear" w:color="auto" w:fill="92D050"/>
          </w:tcPr>
          <w:p w14:paraId="4E213AE1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92D050"/>
          </w:tcPr>
          <w:p w14:paraId="6BDCB1A9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55AA1BDC" w14:textId="77777777" w:rsidTr="001817D5">
        <w:tc>
          <w:tcPr>
            <w:tcW w:w="686" w:type="dxa"/>
          </w:tcPr>
          <w:p w14:paraId="55F703AC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85" w:type="dxa"/>
          </w:tcPr>
          <w:p w14:paraId="0054B35B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Netarifní překážky obchodu a investice do výroby energie z obnovitelných zdrojů</w:t>
            </w:r>
          </w:p>
        </w:tc>
        <w:tc>
          <w:tcPr>
            <w:tcW w:w="2787" w:type="dxa"/>
            <w:shd w:val="clear" w:color="auto" w:fill="92D050"/>
          </w:tcPr>
          <w:p w14:paraId="4C7163AE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92D050"/>
          </w:tcPr>
          <w:p w14:paraId="3509D7D7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16981C45" w14:textId="77777777" w:rsidTr="001817D5">
        <w:trPr>
          <w:trHeight w:val="548"/>
        </w:trPr>
        <w:tc>
          <w:tcPr>
            <w:tcW w:w="686" w:type="dxa"/>
            <w:vMerge w:val="restart"/>
          </w:tcPr>
          <w:p w14:paraId="79FBAF12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85" w:type="dxa"/>
            <w:vMerge w:val="restart"/>
          </w:tcPr>
          <w:p w14:paraId="477831CF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Služby, usazování za účelem podnikání a elektronický obchod</w:t>
            </w:r>
          </w:p>
        </w:tc>
        <w:tc>
          <w:tcPr>
            <w:tcW w:w="2787" w:type="dxa"/>
            <w:shd w:val="clear" w:color="auto" w:fill="92D050"/>
          </w:tcPr>
          <w:p w14:paraId="691BBE2B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vMerge w:val="restart"/>
            <w:shd w:val="clear" w:color="auto" w:fill="92D050"/>
          </w:tcPr>
          <w:p w14:paraId="685B6E01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171DD79F" w14:textId="77777777" w:rsidTr="001817D5">
        <w:trPr>
          <w:trHeight w:val="547"/>
        </w:trPr>
        <w:tc>
          <w:tcPr>
            <w:tcW w:w="686" w:type="dxa"/>
            <w:vMerge/>
          </w:tcPr>
          <w:p w14:paraId="648138DD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Merge/>
          </w:tcPr>
          <w:p w14:paraId="4C6F6029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E2EFD9" w:themeFill="accent6" w:themeFillTint="33"/>
          </w:tcPr>
          <w:p w14:paraId="67C8D19E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  <w:i/>
              </w:rPr>
              <w:t>vyjma</w:t>
            </w:r>
            <w:r w:rsidRPr="001E2426">
              <w:rPr>
                <w:rFonts w:ascii="Arial" w:hAnsi="Arial" w:cs="Arial"/>
                <w:b/>
              </w:rPr>
              <w:t xml:space="preserve"> letecké, námořní a vnitrozemské vodní dopravy, kde je pravomoc sdílená</w:t>
            </w:r>
          </w:p>
        </w:tc>
        <w:tc>
          <w:tcPr>
            <w:tcW w:w="2692" w:type="dxa"/>
            <w:vMerge/>
          </w:tcPr>
          <w:p w14:paraId="1E1E9A9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</w:tr>
      <w:tr w:rsidR="001817D5" w:rsidRPr="001E2426" w14:paraId="04722129" w14:textId="77777777" w:rsidTr="001817D5">
        <w:trPr>
          <w:trHeight w:val="1125"/>
        </w:trPr>
        <w:tc>
          <w:tcPr>
            <w:tcW w:w="686" w:type="dxa"/>
            <w:vMerge w:val="restart"/>
          </w:tcPr>
          <w:p w14:paraId="6EE5A1C9" w14:textId="43505A9B" w:rsidR="00A65934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9</w:t>
            </w:r>
          </w:p>
          <w:p w14:paraId="688D52CE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16AEE0C8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5DBEF85F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19A29FD8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7D788174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3298188F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78B61544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4347A233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0DCE7A35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4EA07C12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7C277B1C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64E2629E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5D9163E3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1A484366" w14:textId="77777777" w:rsidR="00A65934" w:rsidRPr="00A65934" w:rsidRDefault="00A65934" w:rsidP="00A65934">
            <w:pPr>
              <w:rPr>
                <w:rFonts w:ascii="Arial" w:hAnsi="Arial" w:cs="Arial"/>
              </w:rPr>
            </w:pPr>
          </w:p>
          <w:p w14:paraId="7CB0D534" w14:textId="2DB1D515" w:rsidR="001817D5" w:rsidRPr="00A65934" w:rsidRDefault="001817D5" w:rsidP="00A65934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  <w:vMerge w:val="restart"/>
          </w:tcPr>
          <w:p w14:paraId="7A7C909B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lastRenderedPageBreak/>
              <w:t>Investice</w:t>
            </w:r>
          </w:p>
        </w:tc>
        <w:tc>
          <w:tcPr>
            <w:tcW w:w="2787" w:type="dxa"/>
            <w:shd w:val="clear" w:color="auto" w:fill="92D050"/>
          </w:tcPr>
          <w:p w14:paraId="17C47C6D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 pro přímé zahraniční investice a řešení sporů mezi investory a státy</w:t>
            </w:r>
          </w:p>
        </w:tc>
        <w:tc>
          <w:tcPr>
            <w:tcW w:w="2692" w:type="dxa"/>
            <w:shd w:val="clear" w:color="auto" w:fill="92D050"/>
          </w:tcPr>
          <w:p w14:paraId="67E62DA6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 xml:space="preserve">výlučná pravomoc EU pro přímé zahraniční investice </w:t>
            </w:r>
          </w:p>
        </w:tc>
      </w:tr>
      <w:tr w:rsidR="001817D5" w:rsidRPr="001E2426" w14:paraId="0BDFB9EB" w14:textId="77777777" w:rsidTr="001817D5">
        <w:trPr>
          <w:trHeight w:val="1113"/>
        </w:trPr>
        <w:tc>
          <w:tcPr>
            <w:tcW w:w="686" w:type="dxa"/>
            <w:vMerge/>
          </w:tcPr>
          <w:p w14:paraId="296ECBEE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Merge/>
          </w:tcPr>
          <w:p w14:paraId="1A923F7B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E2EFD9" w:themeFill="accent6" w:themeFillTint="33"/>
          </w:tcPr>
          <w:p w14:paraId="779A193D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  <w:i/>
              </w:rPr>
              <w:t>vyjma</w:t>
            </w:r>
            <w:r w:rsidRPr="001E2426">
              <w:rPr>
                <w:rFonts w:ascii="Arial" w:hAnsi="Arial" w:cs="Arial"/>
                <w:b/>
              </w:rPr>
              <w:t xml:space="preserve"> nepřímých investic a sporů o nich, kde je pravomoc sdílená. </w:t>
            </w:r>
          </w:p>
        </w:tc>
        <w:tc>
          <w:tcPr>
            <w:tcW w:w="2692" w:type="dxa"/>
            <w:shd w:val="clear" w:color="auto" w:fill="E2EFD9" w:themeFill="accent6" w:themeFillTint="33"/>
          </w:tcPr>
          <w:p w14:paraId="6DC724E8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  <w:i/>
              </w:rPr>
              <w:t>vyjma</w:t>
            </w:r>
            <w:r w:rsidRPr="001E2426">
              <w:rPr>
                <w:rFonts w:ascii="Arial" w:hAnsi="Arial" w:cs="Arial"/>
                <w:b/>
              </w:rPr>
              <w:t xml:space="preserve"> řešení sporů mezi investory a státy a nepřímých investic, kde je pravomoc sdílená. </w:t>
            </w:r>
          </w:p>
        </w:tc>
      </w:tr>
      <w:tr w:rsidR="001817D5" w:rsidRPr="001E2426" w14:paraId="0280A559" w14:textId="77777777" w:rsidTr="001817D5">
        <w:trPr>
          <w:trHeight w:val="825"/>
        </w:trPr>
        <w:tc>
          <w:tcPr>
            <w:tcW w:w="686" w:type="dxa"/>
            <w:vMerge/>
          </w:tcPr>
          <w:p w14:paraId="20EC1390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Merge/>
          </w:tcPr>
          <w:p w14:paraId="1BB72EB7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FFD966" w:themeFill="accent4" w:themeFillTint="99"/>
          </w:tcPr>
          <w:p w14:paraId="5D87ED2F" w14:textId="77777777" w:rsidR="001817D5" w:rsidRPr="001E2426" w:rsidRDefault="001817D5" w:rsidP="001E2426">
            <w:pPr>
              <w:rPr>
                <w:rFonts w:ascii="Arial" w:hAnsi="Arial" w:cs="Arial"/>
                <w:b/>
                <w:i/>
              </w:rPr>
            </w:pPr>
            <w:r w:rsidRPr="001E2426">
              <w:rPr>
                <w:rFonts w:ascii="Arial" w:hAnsi="Arial" w:cs="Arial"/>
                <w:b/>
              </w:rPr>
              <w:t>Ukončení BIT dohod členských států ve výlučné pravomoci členských států</w:t>
            </w:r>
          </w:p>
        </w:tc>
        <w:tc>
          <w:tcPr>
            <w:tcW w:w="2692" w:type="dxa"/>
            <w:shd w:val="clear" w:color="auto" w:fill="E2EFD9" w:themeFill="accent6" w:themeFillTint="33"/>
          </w:tcPr>
          <w:p w14:paraId="42A30196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Ukončení BIT dohod členských států v exkluzivní pravomoci EU, spadá-</w:t>
            </w:r>
            <w:r w:rsidRPr="001E2426">
              <w:rPr>
                <w:rFonts w:ascii="Arial" w:hAnsi="Arial" w:cs="Arial"/>
                <w:b/>
              </w:rPr>
              <w:lastRenderedPageBreak/>
              <w:t>li jejich obsah do výlučné pravomoci EU</w:t>
            </w:r>
          </w:p>
        </w:tc>
      </w:tr>
      <w:tr w:rsidR="001817D5" w:rsidRPr="001E2426" w14:paraId="4C07B81A" w14:textId="77777777" w:rsidTr="001817D5">
        <w:trPr>
          <w:trHeight w:val="548"/>
        </w:trPr>
        <w:tc>
          <w:tcPr>
            <w:tcW w:w="686" w:type="dxa"/>
            <w:vMerge w:val="restart"/>
          </w:tcPr>
          <w:p w14:paraId="1C53F03F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3185" w:type="dxa"/>
            <w:vMerge w:val="restart"/>
          </w:tcPr>
          <w:p w14:paraId="5B345B1B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Veřejné zakázky</w:t>
            </w:r>
          </w:p>
        </w:tc>
        <w:tc>
          <w:tcPr>
            <w:tcW w:w="2787" w:type="dxa"/>
            <w:shd w:val="clear" w:color="auto" w:fill="92D050"/>
          </w:tcPr>
          <w:p w14:paraId="029810D3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vMerge w:val="restart"/>
            <w:shd w:val="clear" w:color="auto" w:fill="92D050"/>
          </w:tcPr>
          <w:p w14:paraId="1ECA255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0FCEBA65" w14:textId="77777777" w:rsidTr="001817D5">
        <w:trPr>
          <w:trHeight w:val="547"/>
        </w:trPr>
        <w:tc>
          <w:tcPr>
            <w:tcW w:w="686" w:type="dxa"/>
            <w:vMerge/>
          </w:tcPr>
          <w:p w14:paraId="5F2E9615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Merge/>
          </w:tcPr>
          <w:p w14:paraId="19409F43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E2EFD9" w:themeFill="accent6" w:themeFillTint="33"/>
          </w:tcPr>
          <w:p w14:paraId="3C266493" w14:textId="77777777" w:rsidR="001817D5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  <w:i/>
              </w:rPr>
              <w:t>vyjma</w:t>
            </w:r>
            <w:r w:rsidRPr="001E2426">
              <w:rPr>
                <w:rFonts w:ascii="Arial" w:hAnsi="Arial" w:cs="Arial"/>
                <w:b/>
              </w:rPr>
              <w:t xml:space="preserve"> zakázek na dopravní služby, kde je pravomoc sdílená</w:t>
            </w:r>
          </w:p>
          <w:p w14:paraId="5F2A9BF0" w14:textId="55C33072" w:rsidR="00462B53" w:rsidRPr="001E2426" w:rsidRDefault="00462B53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vMerge/>
            <w:shd w:val="clear" w:color="auto" w:fill="92D050"/>
          </w:tcPr>
          <w:p w14:paraId="00AD34C9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</w:tr>
      <w:tr w:rsidR="001817D5" w:rsidRPr="001E2426" w14:paraId="06186AE8" w14:textId="77777777" w:rsidTr="001817D5">
        <w:trPr>
          <w:trHeight w:val="448"/>
        </w:trPr>
        <w:tc>
          <w:tcPr>
            <w:tcW w:w="686" w:type="dxa"/>
            <w:vMerge w:val="restart"/>
          </w:tcPr>
          <w:p w14:paraId="08D17117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85" w:type="dxa"/>
            <w:vMerge w:val="restart"/>
          </w:tcPr>
          <w:p w14:paraId="65EC2767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Duševní vlastnictví</w:t>
            </w:r>
          </w:p>
        </w:tc>
        <w:tc>
          <w:tcPr>
            <w:tcW w:w="2787" w:type="dxa"/>
            <w:shd w:val="clear" w:color="auto" w:fill="92D050"/>
          </w:tcPr>
          <w:p w14:paraId="2FB08AC6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vMerge w:val="restart"/>
            <w:shd w:val="clear" w:color="auto" w:fill="92D050"/>
          </w:tcPr>
          <w:p w14:paraId="22C8A2C0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76EF79E5" w14:textId="77777777" w:rsidTr="001817D5">
        <w:trPr>
          <w:trHeight w:val="690"/>
        </w:trPr>
        <w:tc>
          <w:tcPr>
            <w:tcW w:w="686" w:type="dxa"/>
            <w:vMerge/>
          </w:tcPr>
          <w:p w14:paraId="71CA00DF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Merge/>
          </w:tcPr>
          <w:p w14:paraId="6D906CDC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clear" w:color="auto" w:fill="E2EFD9" w:themeFill="accent6" w:themeFillTint="33"/>
          </w:tcPr>
          <w:p w14:paraId="58AD2BE2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  <w:i/>
              </w:rPr>
              <w:t>vyjma</w:t>
            </w:r>
            <w:r w:rsidRPr="001E2426">
              <w:rPr>
                <w:rFonts w:ascii="Arial" w:hAnsi="Arial" w:cs="Arial"/>
                <w:b/>
              </w:rPr>
              <w:t xml:space="preserve"> ne-obchodních aspektů duševního vlastnictví, kde je pravomoc sdílená</w:t>
            </w:r>
          </w:p>
        </w:tc>
        <w:tc>
          <w:tcPr>
            <w:tcW w:w="2692" w:type="dxa"/>
            <w:vMerge/>
            <w:shd w:val="clear" w:color="auto" w:fill="92D050"/>
          </w:tcPr>
          <w:p w14:paraId="06794F9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</w:p>
        </w:tc>
      </w:tr>
      <w:tr w:rsidR="001817D5" w:rsidRPr="001E2426" w14:paraId="00E5D698" w14:textId="77777777" w:rsidTr="001817D5">
        <w:tc>
          <w:tcPr>
            <w:tcW w:w="686" w:type="dxa"/>
          </w:tcPr>
          <w:p w14:paraId="5C2433CF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85" w:type="dxa"/>
          </w:tcPr>
          <w:p w14:paraId="73E48282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Ochrana soutěže a související záležitosti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14:paraId="206FAE2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  <w:tc>
          <w:tcPr>
            <w:tcW w:w="2692" w:type="dxa"/>
            <w:shd w:val="clear" w:color="auto" w:fill="92D050"/>
          </w:tcPr>
          <w:p w14:paraId="77793B53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02CB9917" w14:textId="77777777" w:rsidTr="001817D5">
        <w:tc>
          <w:tcPr>
            <w:tcW w:w="686" w:type="dxa"/>
          </w:tcPr>
          <w:p w14:paraId="0C66270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85" w:type="dxa"/>
          </w:tcPr>
          <w:p w14:paraId="45F374DC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Obchod a udržitelný rozvoj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14:paraId="27D6E7F0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některé části ve sdílené, jiné ve výlučné pravomoci</w:t>
            </w:r>
          </w:p>
        </w:tc>
        <w:tc>
          <w:tcPr>
            <w:tcW w:w="2692" w:type="dxa"/>
            <w:shd w:val="clear" w:color="auto" w:fill="92D050"/>
          </w:tcPr>
          <w:p w14:paraId="7A8CB368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výlučná pravomoc EU</w:t>
            </w:r>
          </w:p>
        </w:tc>
      </w:tr>
      <w:tr w:rsidR="001817D5" w:rsidRPr="001E2426" w14:paraId="3AB9A56E" w14:textId="77777777" w:rsidTr="001817D5">
        <w:tc>
          <w:tcPr>
            <w:tcW w:w="686" w:type="dxa"/>
          </w:tcPr>
          <w:p w14:paraId="57BCC80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85" w:type="dxa"/>
          </w:tcPr>
          <w:p w14:paraId="0052384C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Průhlednost/Transparentnost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14:paraId="6D4662DF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  <w:tc>
          <w:tcPr>
            <w:tcW w:w="2692" w:type="dxa"/>
            <w:shd w:val="clear" w:color="auto" w:fill="E2EFD9" w:themeFill="accent6" w:themeFillTint="33"/>
          </w:tcPr>
          <w:p w14:paraId="404BE5BF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</w:tr>
      <w:tr w:rsidR="001817D5" w:rsidRPr="001E2426" w14:paraId="5662D494" w14:textId="77777777" w:rsidTr="001817D5">
        <w:tc>
          <w:tcPr>
            <w:tcW w:w="686" w:type="dxa"/>
          </w:tcPr>
          <w:p w14:paraId="7F0C4D0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185" w:type="dxa"/>
          </w:tcPr>
          <w:p w14:paraId="15F38D6A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Urovnání sporů mezi stranami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14:paraId="3B84D1D5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  <w:tc>
          <w:tcPr>
            <w:tcW w:w="2692" w:type="dxa"/>
            <w:shd w:val="clear" w:color="auto" w:fill="E2EFD9" w:themeFill="accent6" w:themeFillTint="33"/>
          </w:tcPr>
          <w:p w14:paraId="7172A64D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</w:tr>
      <w:tr w:rsidR="001817D5" w:rsidRPr="001E2426" w14:paraId="3CA96E86" w14:textId="77777777" w:rsidTr="001817D5">
        <w:tc>
          <w:tcPr>
            <w:tcW w:w="686" w:type="dxa"/>
          </w:tcPr>
          <w:p w14:paraId="28820E4E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185" w:type="dxa"/>
          </w:tcPr>
          <w:p w14:paraId="206B8654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Mechanismus zprostředkování/mediace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14:paraId="580CFCA3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  <w:tc>
          <w:tcPr>
            <w:tcW w:w="2692" w:type="dxa"/>
            <w:shd w:val="clear" w:color="auto" w:fill="E2EFD9" w:themeFill="accent6" w:themeFillTint="33"/>
          </w:tcPr>
          <w:p w14:paraId="0544D4EE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</w:tr>
      <w:tr w:rsidR="001817D5" w:rsidRPr="001E2426" w14:paraId="6E53C88C" w14:textId="77777777" w:rsidTr="001817D5">
        <w:tc>
          <w:tcPr>
            <w:tcW w:w="686" w:type="dxa"/>
          </w:tcPr>
          <w:p w14:paraId="4B01F022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185" w:type="dxa"/>
          </w:tcPr>
          <w:p w14:paraId="24661FF2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 xml:space="preserve">Institucionální, všeobecná a závěrečná ustanovení 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14:paraId="7CE44759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  <w:tc>
          <w:tcPr>
            <w:tcW w:w="2692" w:type="dxa"/>
            <w:shd w:val="clear" w:color="auto" w:fill="E2EFD9" w:themeFill="accent6" w:themeFillTint="33"/>
          </w:tcPr>
          <w:p w14:paraId="5C9229A0" w14:textId="77777777" w:rsidR="001817D5" w:rsidRPr="001E2426" w:rsidRDefault="001817D5" w:rsidP="001E2426">
            <w:pPr>
              <w:rPr>
                <w:rFonts w:ascii="Arial" w:hAnsi="Arial" w:cs="Arial"/>
                <w:b/>
              </w:rPr>
            </w:pPr>
            <w:r w:rsidRPr="001E2426">
              <w:rPr>
                <w:rFonts w:ascii="Arial" w:hAnsi="Arial" w:cs="Arial"/>
                <w:b/>
              </w:rPr>
              <w:t>sdílená pravomoc*</w:t>
            </w:r>
          </w:p>
        </w:tc>
      </w:tr>
    </w:tbl>
    <w:p w14:paraId="38EF2B8E" w14:textId="76F43F14" w:rsidR="003963AB" w:rsidRPr="00223189" w:rsidRDefault="003963AB" w:rsidP="003963AB">
      <w:pPr>
        <w:pStyle w:val="Normlnywebov"/>
        <w:jc w:val="both"/>
        <w:outlineLvl w:val="0"/>
        <w:rPr>
          <w:rFonts w:ascii="Arial" w:hAnsi="Arial" w:cs="Arial"/>
          <w:i/>
          <w:sz w:val="20"/>
          <w:szCs w:val="20"/>
          <w:lang w:val="cs-CZ"/>
        </w:rPr>
      </w:pPr>
      <w:r w:rsidRPr="00223189">
        <w:rPr>
          <w:rFonts w:ascii="Arial" w:hAnsi="Arial" w:cs="Arial"/>
          <w:i/>
          <w:sz w:val="20"/>
          <w:szCs w:val="20"/>
          <w:lang w:val="cs-CZ"/>
        </w:rPr>
        <w:t>Zdroj: http://europeanlawblog.eu/wp-content/uploads/2017/06/Annex-on-Investment-SGS.jpg</w:t>
      </w:r>
    </w:p>
    <w:p w14:paraId="25AFAD5F" w14:textId="09D41960" w:rsidR="00CD1BD6" w:rsidRPr="00462B53" w:rsidRDefault="003963AB" w:rsidP="00462B53">
      <w:pPr>
        <w:jc w:val="both"/>
        <w:rPr>
          <w:rFonts w:ascii="Arial" w:hAnsi="Arial" w:cs="Arial"/>
          <w:lang w:val="cs-CZ"/>
        </w:rPr>
        <w:sectPr w:rsidR="00CD1BD6" w:rsidRPr="00462B53" w:rsidSect="00153791">
          <w:footerReference w:type="default" r:id="rId16"/>
          <w:pgSz w:w="12240" w:h="15840"/>
          <w:pgMar w:top="909" w:right="1440" w:bottom="1440" w:left="1440" w:header="794" w:footer="720" w:gutter="0"/>
          <w:cols w:space="720"/>
          <w:docGrid w:linePitch="360"/>
        </w:sectPr>
      </w:pPr>
      <w:r w:rsidRPr="00462B53">
        <w:rPr>
          <w:rFonts w:ascii="Arial" w:hAnsi="Arial" w:cs="Arial"/>
          <w:sz w:val="22"/>
          <w:szCs w:val="22"/>
          <w:lang w:val="cs-CZ"/>
        </w:rPr>
        <w:t>Pro již parafovanou dohodu se Singapurem to znamená, že uzavřena může být jen jako dohoda smíšená, tj. po schválení ve všech členských státech. Takové ex-post vyjasnění samozřejmě znejišťuje partnery EU, činí vyjednávání komplexních obchodn</w:t>
      </w:r>
      <w:r w:rsidR="006A143D">
        <w:rPr>
          <w:rFonts w:ascii="Arial" w:hAnsi="Arial" w:cs="Arial"/>
          <w:sz w:val="22"/>
          <w:szCs w:val="22"/>
          <w:lang w:val="cs-CZ"/>
        </w:rPr>
        <w:t>ích dohod „nové generace“ hru s </w:t>
      </w:r>
      <w:r w:rsidRPr="00462B53">
        <w:rPr>
          <w:rFonts w:ascii="Arial" w:hAnsi="Arial" w:cs="Arial"/>
          <w:sz w:val="22"/>
          <w:szCs w:val="22"/>
          <w:lang w:val="cs-CZ"/>
        </w:rPr>
        <w:t>velmi otevřeným koncem, což má negativní dopad na věrohodnost EU jako partnera pro jednání a podlamuje její snahu o „vývoz“ svých řešení a standardů do třetích zemí. Proto Komise v září t.r. ohlásila změnu přístupu, který má zajistit, aby obchodní dohody byly vyjednávány a uzavírány efektivním způsobem. Navrhované řešení se zdá prosté a logické: oddělit otázky liberalizace toků zboží, služeb, a také přímých zahraničních investic, které může EU uzavřít v rámci svých výlučných pravomocí, od otázek ochrany investic, jakož i řešení investičních sporů. Ty budou vyžadovat součinnost mezi EU a členskými státy, které pak budou tyto investiční dohody dle svých vnitrostátních pravidel ratifikovat. Zhruba to vyjadřuje následující schéma:</w:t>
      </w:r>
    </w:p>
    <w:p w14:paraId="5D7A13A1" w14:textId="1626B289" w:rsidR="00492402" w:rsidRPr="00462B53" w:rsidRDefault="00492402" w:rsidP="006A143D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462B53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Schéma 1: </w:t>
      </w:r>
      <w:r w:rsidR="00E54A88" w:rsidRPr="00462B53">
        <w:rPr>
          <w:rFonts w:ascii="Arial" w:hAnsi="Arial" w:cs="Arial"/>
          <w:b/>
          <w:sz w:val="22"/>
          <w:szCs w:val="22"/>
          <w:lang w:val="cs-CZ"/>
        </w:rPr>
        <w:t>Navržená nová architektura pro ro</w:t>
      </w:r>
      <w:r w:rsidR="006A143D">
        <w:rPr>
          <w:rFonts w:ascii="Arial" w:hAnsi="Arial" w:cs="Arial"/>
          <w:b/>
          <w:sz w:val="22"/>
          <w:szCs w:val="22"/>
          <w:lang w:val="cs-CZ"/>
        </w:rPr>
        <w:t>zdělení evropských obchodních a </w:t>
      </w:r>
      <w:r w:rsidR="00E54A88" w:rsidRPr="00462B53">
        <w:rPr>
          <w:rFonts w:ascii="Arial" w:hAnsi="Arial" w:cs="Arial"/>
          <w:b/>
          <w:sz w:val="22"/>
          <w:szCs w:val="22"/>
          <w:lang w:val="cs-CZ"/>
        </w:rPr>
        <w:t>investičních dohod</w:t>
      </w:r>
    </w:p>
    <w:p w14:paraId="64C9D103" w14:textId="5C22C992" w:rsidR="003963AB" w:rsidRPr="00EB59BC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lang w:val="cs-CZ"/>
        </w:rPr>
      </w:pPr>
      <w:r w:rsidRPr="00EB59BC">
        <w:rPr>
          <w:rFonts w:ascii="Arial" w:hAnsi="Arial" w:cs="Arial"/>
          <w:sz w:val="22"/>
          <w:lang w:val="cs-CZ"/>
        </w:rPr>
        <w:t xml:space="preserve"> </w:t>
      </w:r>
      <w:r w:rsidR="006D06CC" w:rsidRPr="00EB59BC">
        <w:rPr>
          <w:noProof/>
          <w:lang w:val="sk-SK" w:eastAsia="sk-SK"/>
        </w:rPr>
        <w:drawing>
          <wp:inline distT="0" distB="0" distL="0" distR="0" wp14:anchorId="2B562447" wp14:editId="23CBB3A3">
            <wp:extent cx="5142016" cy="6000799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0086" t="13479" r="32721" b="9313"/>
                    <a:stretch/>
                  </pic:blipFill>
                  <pic:spPr bwMode="auto">
                    <a:xfrm>
                      <a:off x="0" y="0"/>
                      <a:ext cx="5177399" cy="604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1BD6" w:rsidRPr="00EB59BC">
        <w:rPr>
          <w:rStyle w:val="Odkaznapoznmkupodiarou"/>
          <w:rFonts w:ascii="Arial" w:hAnsi="Arial" w:cs="Arial"/>
          <w:sz w:val="22"/>
          <w:lang w:val="cs-CZ"/>
        </w:rPr>
        <w:footnoteReference w:id="13"/>
      </w:r>
    </w:p>
    <w:p w14:paraId="3CDA4F1C" w14:textId="77777777" w:rsidR="00653031" w:rsidRPr="00223189" w:rsidRDefault="003963AB" w:rsidP="003963AB">
      <w:pPr>
        <w:pStyle w:val="Normlnywebov"/>
        <w:jc w:val="both"/>
        <w:outlineLvl w:val="0"/>
        <w:rPr>
          <w:rFonts w:ascii="Arial" w:hAnsi="Arial" w:cs="Arial"/>
          <w:i/>
          <w:sz w:val="20"/>
          <w:szCs w:val="20"/>
          <w:lang w:val="cs-CZ"/>
        </w:rPr>
      </w:pPr>
      <w:r w:rsidRPr="00223189">
        <w:rPr>
          <w:rFonts w:ascii="Arial" w:hAnsi="Arial" w:cs="Arial"/>
          <w:i/>
          <w:sz w:val="20"/>
          <w:szCs w:val="20"/>
          <w:lang w:val="cs-CZ"/>
        </w:rPr>
        <w:t>Zdroj:http://g8fip1kplyr33r3krz5b97d1.wpengine.netdna-cdn.com/wp-content/uploads/2017/08/COM-proposal-splitting-trade-deals.pdf</w:t>
      </w:r>
    </w:p>
    <w:p w14:paraId="1959BD85" w14:textId="48B688FD" w:rsidR="003963AB" w:rsidRP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lastRenderedPageBreak/>
        <w:t xml:space="preserve">V časově paralelním doporučení Radě - návrhu mandátu pro </w:t>
      </w:r>
      <w:r w:rsidR="00462B53">
        <w:rPr>
          <w:rFonts w:ascii="Arial" w:hAnsi="Arial" w:cs="Arial"/>
          <w:sz w:val="22"/>
          <w:szCs w:val="22"/>
          <w:lang w:val="cs-CZ"/>
        </w:rPr>
        <w:t>jednání o obchodních dohodách s 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Austrálií a Novým Zélandem - již také Komise zúžila záběr budoucích dohod na ty otázky, které spadají do výlučné pravomoci EU a kde bude veškeré rozhodování v rukách orgánů EU (jakkoli výslovně vítá, že členové Rady EU se společně se svými parlamenty stále více angažují v rané fázi obchodních jednání, a to v souladu se svou institucionální praxí). Na tento návrh samozřejmě musí přistoupit Rada EU, která dle čl. 207 a 218 SFEU zmocňuje Komisi, určuje Komisi výbor, s nímž musí svůj postup konzultovat (Výbor „113“ pro obchodní politiku, tvořený zástupci členských států), dává jí směrnice pro jednání a nakonec rozhoduje (po obdržení souhlasu Evropského parlamentu) o uzavření dohody. </w:t>
      </w:r>
    </w:p>
    <w:p w14:paraId="029AA0E6" w14:textId="77777777" w:rsid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Nový přístup Komise nepochybně respektuje rozdělení pravomocí mezi EU a členskými státy dané Soudním dvorem EU. Současně je zřejmé, že zdaleka </w:t>
      </w:r>
      <w:r w:rsidRPr="00C33765">
        <w:rPr>
          <w:rFonts w:ascii="Arial" w:hAnsi="Arial" w:cs="Arial"/>
          <w:b/>
          <w:sz w:val="22"/>
          <w:szCs w:val="22"/>
          <w:lang w:val="cs-CZ"/>
        </w:rPr>
        <w:t>ne všechny otázky byly beze zbytku vyjasněny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, a ne všem úskalím bude jednoduché se vyhnout. Zdůraznit (a současně promyslet a projednat) je třeba především následující: </w:t>
      </w:r>
    </w:p>
    <w:p w14:paraId="6C785700" w14:textId="248B1455" w:rsidR="00462B53" w:rsidRDefault="00C33765" w:rsidP="003963AB">
      <w:pPr>
        <w:pStyle w:val="Normlnywebov"/>
        <w:numPr>
          <w:ilvl w:val="0"/>
          <w:numId w:val="7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</w:t>
      </w:r>
      <w:r w:rsidR="003963AB" w:rsidRPr="00462B53">
        <w:rPr>
          <w:rFonts w:ascii="Arial" w:hAnsi="Arial" w:cs="Arial"/>
          <w:sz w:val="22"/>
          <w:szCs w:val="22"/>
          <w:lang w:val="cs-CZ"/>
        </w:rPr>
        <w:t>omise na jedné straně zahrnuje do mandátu pro jednání o dohodách s Austrálií a Novým Zélandem otázky liberalizace a „pravidel týkajících se výkonnostních požadavků“</w:t>
      </w:r>
      <w:r w:rsidR="00653031" w:rsidRPr="00462B53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4"/>
      </w:r>
      <w:r w:rsidR="003963AB" w:rsidRPr="00462B53">
        <w:rPr>
          <w:rFonts w:ascii="Arial" w:hAnsi="Arial" w:cs="Arial"/>
          <w:sz w:val="22"/>
          <w:szCs w:val="22"/>
          <w:lang w:val="cs-CZ"/>
        </w:rPr>
        <w:t xml:space="preserve"> ve věcech přímých zahraničních investic, naproti tomu problematiku ochrany investic chce řešit odděleně v režimu smíšené dohody. Nabízí se otázka, nakolik lze tyto dva aspekty úpravy režimu investic jasně oddělit, vyjednávat o nich odděleně, resp. se o jednom aspektu dohodnout a o druhém nikoli? Budou se tako</w:t>
      </w:r>
      <w:r>
        <w:rPr>
          <w:rFonts w:ascii="Arial" w:hAnsi="Arial" w:cs="Arial"/>
          <w:sz w:val="22"/>
          <w:szCs w:val="22"/>
          <w:lang w:val="cs-CZ"/>
        </w:rPr>
        <w:t>vé dohody společně vyjednávat a </w:t>
      </w:r>
      <w:r w:rsidR="003963AB" w:rsidRPr="00462B53">
        <w:rPr>
          <w:rFonts w:ascii="Arial" w:hAnsi="Arial" w:cs="Arial"/>
          <w:sz w:val="22"/>
          <w:szCs w:val="22"/>
          <w:lang w:val="cs-CZ"/>
        </w:rPr>
        <w:t>odděleně schvalovat, nebo půjde o dvě oddělená</w:t>
      </w:r>
      <w:r>
        <w:rPr>
          <w:rFonts w:ascii="Arial" w:hAnsi="Arial" w:cs="Arial"/>
          <w:sz w:val="22"/>
          <w:szCs w:val="22"/>
          <w:lang w:val="cs-CZ"/>
        </w:rPr>
        <w:t xml:space="preserve"> jednání? Komise zatím hovoří o </w:t>
      </w:r>
      <w:r w:rsidR="003963AB" w:rsidRPr="00462B53">
        <w:rPr>
          <w:rFonts w:ascii="Arial" w:hAnsi="Arial" w:cs="Arial"/>
          <w:sz w:val="22"/>
          <w:szCs w:val="22"/>
          <w:lang w:val="cs-CZ"/>
        </w:rPr>
        <w:t xml:space="preserve">„inkluzivitě“ procesu vyjednávání a schvalování bez ohledu na to, na jaké úrovni (EU či EU a členských států) bude nakonec rozhodováno, jasné odpovědi však nedává. </w:t>
      </w:r>
    </w:p>
    <w:p w14:paraId="2FD2B9BD" w14:textId="424B036B" w:rsidR="00462B53" w:rsidRDefault="003963AB" w:rsidP="003963AB">
      <w:pPr>
        <w:pStyle w:val="Normlnywebov"/>
        <w:numPr>
          <w:ilvl w:val="0"/>
          <w:numId w:val="7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Nad to Komise ve stejném balíku iniciativ navrhla</w:t>
      </w:r>
      <w:r w:rsidR="00C33765">
        <w:rPr>
          <w:rFonts w:ascii="Arial" w:hAnsi="Arial" w:cs="Arial"/>
          <w:sz w:val="22"/>
          <w:szCs w:val="22"/>
          <w:lang w:val="cs-CZ"/>
        </w:rPr>
        <w:t xml:space="preserve"> Radě rozhodnout i o zmocnění k </w:t>
      </w:r>
      <w:r w:rsidRPr="00462B53">
        <w:rPr>
          <w:rFonts w:ascii="Arial" w:hAnsi="Arial" w:cs="Arial"/>
          <w:sz w:val="22"/>
          <w:szCs w:val="22"/>
          <w:lang w:val="cs-CZ"/>
        </w:rPr>
        <w:t>zahájení jednání o zřízení mnohostranného soudu pro urovnávání sporů z investic, tj. otázky, v níž, jak Komise sama uvádí, má EU zčásti výlučnou a zčásti sdílenou pravomoc. Půjde tedy o nový, dosud jen v hrubých rysech načrtnutý, institucionálně-procesní mechanismus pro řešení sporů, v nichž stranou žalovanou zahraničním investorem může být jak EU, tak i členské státy. Vedle toho, že bude třeba nalézt vztah k existujícím mechanismům upravených ve dvoustranných dohodách o ochraně investic uzavřených členskými státy, a zcela zásadně také k</w:t>
      </w:r>
      <w:r w:rsidR="00653031" w:rsidRPr="00462B53">
        <w:rPr>
          <w:rFonts w:ascii="Arial" w:hAnsi="Arial" w:cs="Arial"/>
          <w:sz w:val="22"/>
          <w:szCs w:val="22"/>
          <w:lang w:val="cs-CZ"/>
        </w:rPr>
        <w:t> </w:t>
      </w:r>
      <w:r w:rsidRPr="00462B53">
        <w:rPr>
          <w:rFonts w:ascii="Arial" w:hAnsi="Arial" w:cs="Arial"/>
          <w:sz w:val="22"/>
          <w:szCs w:val="22"/>
          <w:lang w:val="cs-CZ"/>
        </w:rPr>
        <w:t>výlučné</w:t>
      </w:r>
      <w:r w:rsidR="00653031" w:rsidRPr="00462B53">
        <w:rPr>
          <w:rFonts w:ascii="Arial" w:hAnsi="Arial" w:cs="Arial"/>
          <w:sz w:val="22"/>
          <w:szCs w:val="22"/>
          <w:lang w:val="cs-CZ"/>
        </w:rPr>
        <w:t xml:space="preserve"> </w:t>
      </w:r>
      <w:r w:rsidRPr="00462B53">
        <w:rPr>
          <w:rFonts w:ascii="Arial" w:hAnsi="Arial" w:cs="Arial"/>
          <w:sz w:val="22"/>
          <w:szCs w:val="22"/>
          <w:lang w:val="cs-CZ"/>
        </w:rPr>
        <w:t>pravomoci Soudního dvora dávat konečný a závazný výklad ustanovení práva EU. Vnější smlouvy uzavřené EU jsou pramenem práva EU a jejich ustanovení, jsou-li dostatečně jasná, přesná a nepodmíněná, mají tzv. přímý účinek, tj. jsou použitelná ve sporech, je</w:t>
      </w:r>
      <w:r w:rsidR="00C33765">
        <w:rPr>
          <w:rFonts w:ascii="Arial" w:hAnsi="Arial" w:cs="Arial"/>
          <w:sz w:val="22"/>
          <w:szCs w:val="22"/>
          <w:lang w:val="cs-CZ"/>
        </w:rPr>
        <w:t>jichž stranou je jednotlivec. O </w:t>
      </w:r>
      <w:r w:rsidRPr="00462B53">
        <w:rPr>
          <w:rFonts w:ascii="Arial" w:hAnsi="Arial" w:cs="Arial"/>
          <w:sz w:val="22"/>
          <w:szCs w:val="22"/>
          <w:lang w:val="cs-CZ"/>
        </w:rPr>
        <w:t>výkladu té části dohod EU se třetími zeměmi, týkající se ochrany investic, by však do budoucna závazně rozhodoval mnohostranný investiční soud.</w:t>
      </w:r>
      <w:r w:rsidR="00653031" w:rsidRPr="00462B53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5"/>
      </w:r>
      <w:r w:rsidRPr="00462B5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2207678" w14:textId="7C8C5CD8" w:rsidR="003963AB" w:rsidRPr="00462B53" w:rsidRDefault="003963AB" w:rsidP="003963AB">
      <w:pPr>
        <w:pStyle w:val="Normlnywebov"/>
        <w:numPr>
          <w:ilvl w:val="0"/>
          <w:numId w:val="7"/>
        </w:numPr>
        <w:ind w:left="709" w:hanging="34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Nově se bude třeba zamyslet nad mechanismem komunikace a hájení pozic v orgánech EU rozhodujících o jednání s třetími zeměmi ze strany členských států. Komise již nyní zveřejňuje své návrhy pro jednání a podává zprávy o jednotlivých kolech jednání, přislíbila zveřejňovat i svá doporučení týkající se směrnic pro jednání a zřídila k tomu i novou </w:t>
      </w:r>
      <w:r w:rsidRPr="00462B53">
        <w:rPr>
          <w:rFonts w:ascii="Arial" w:hAnsi="Arial" w:cs="Arial"/>
          <w:sz w:val="22"/>
          <w:szCs w:val="22"/>
          <w:lang w:val="cs-CZ"/>
        </w:rPr>
        <w:lastRenderedPageBreak/>
        <w:t>webovou stránku „Transparency in action“</w:t>
      </w:r>
      <w:r w:rsidR="00653031" w:rsidRPr="00462B53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6"/>
      </w:r>
      <w:r w:rsidRPr="00462B53">
        <w:rPr>
          <w:rFonts w:ascii="Arial" w:hAnsi="Arial" w:cs="Arial"/>
          <w:sz w:val="22"/>
          <w:szCs w:val="22"/>
          <w:lang w:val="cs-CZ"/>
        </w:rPr>
        <w:t xml:space="preserve"> – vše s cílem nabídnout orgánům i veřejnosti členských států dostatek informací pro zaujetí stanoviska. V balíku svých iniciativ rozhodla Komise i o vytvoření poradní skupiny (Group of Experts) pro obchodní dohody EU, od níž si Komise slibuje přenos a koordinaci názorů ani ne tak ve směru členských států, ale spíše dalších stakeholders, jako jsou zaměstnavatelské a zaměstnanecké organizace, spotřebitelé, neziskové organizace atd. Ve skupině proto nebudou nutně zastoupeni příslušníci všech členských států a ke jmenování je generálnímu řediteli GŘ Komise pro obchod budou navrhovat jednotlivé nestátní organizace a jejich pan-evropské asociace.  Před ČR proto stojí otázka, zda dosavadní mechanismus parlamentní kontroly EU-agendy nevyžaduje změny, jakož i otázka neformální komunikace a podpory tam, kde by měli zájmy nikoli státu, ale společnosti ČR, hájit aktéři, vůči nimž nemají orgány ČR žádnou pravomoc. </w:t>
      </w:r>
    </w:p>
    <w:p w14:paraId="226DA0C7" w14:textId="00B3649A" w:rsidR="003963AB" w:rsidRP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Relativně samostatnou problematiku a sadu z ní vyplývajících otázek představuje ta část zářijového balíčku Komise, která směřuje ke </w:t>
      </w:r>
      <w:bookmarkStart w:id="0" w:name="_GoBack"/>
      <w:r w:rsidRPr="00B0725A">
        <w:rPr>
          <w:rFonts w:ascii="Arial" w:hAnsi="Arial" w:cs="Arial"/>
          <w:b/>
          <w:sz w:val="22"/>
          <w:szCs w:val="22"/>
          <w:lang w:val="cs-CZ"/>
        </w:rPr>
        <w:t>k</w:t>
      </w:r>
      <w:bookmarkEnd w:id="0"/>
      <w:r w:rsidRPr="00C33765">
        <w:rPr>
          <w:rFonts w:ascii="Arial" w:hAnsi="Arial" w:cs="Arial"/>
          <w:b/>
          <w:sz w:val="22"/>
          <w:szCs w:val="22"/>
          <w:lang w:val="cs-CZ"/>
        </w:rPr>
        <w:t>ontrole přímých zahraničních investic směřujících do EU ze třetích zemí</w:t>
      </w:r>
      <w:r w:rsidRPr="00462B53">
        <w:rPr>
          <w:rFonts w:ascii="Arial" w:hAnsi="Arial" w:cs="Arial"/>
          <w:sz w:val="22"/>
          <w:szCs w:val="22"/>
          <w:lang w:val="cs-CZ"/>
        </w:rPr>
        <w:t>, a tedy i k ochraně strate</w:t>
      </w:r>
      <w:r w:rsidR="00A65934">
        <w:rPr>
          <w:rFonts w:ascii="Arial" w:hAnsi="Arial" w:cs="Arial"/>
          <w:sz w:val="22"/>
          <w:szCs w:val="22"/>
          <w:lang w:val="cs-CZ"/>
        </w:rPr>
        <w:t>gických zájmů (a nevyhnutelně i 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sektorů) EU a jejích členských států.  Komise dle komentátorů touto iniciativou reagovala na návrhy přicházející z Francie, Itálie a Německa jako nejhlasitějších zastánců kontroly zejména čínských polostátních firem nakupujících velké západoevropské společnosti. </w:t>
      </w:r>
    </w:p>
    <w:p w14:paraId="62BDBB32" w14:textId="3B2F2B16" w:rsidR="003963AB" w:rsidRP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Předseda Komise J.-C. Juncker představil tuto část návrhu tak, že EU potřebuje nejen transparentní a kolektivní posouzení chystaných investic, ale i novou průmyslovou strategii, která učiní firmy z EU více konkurenceschopné. EU tudíž nemá být naivním stoupencem volného obchodu a musí se vyrovnat se skutečností, že její obchodně-investiční rivalové jako Čína, Rusko, Japonsko i USA již přicházející přímé zahraniční investice prověřují, a to nejen z vojensko-bezpečnostního, ale i hospodářsko-bezpečnostního či šířeji „str</w:t>
      </w:r>
      <w:r w:rsidR="00C33765">
        <w:rPr>
          <w:rFonts w:ascii="Arial" w:hAnsi="Arial" w:cs="Arial"/>
          <w:sz w:val="22"/>
          <w:szCs w:val="22"/>
          <w:lang w:val="cs-CZ"/>
        </w:rPr>
        <w:t>ategického“ hlediska. Nakonec i </w:t>
      </w:r>
      <w:r w:rsidRPr="00462B53">
        <w:rPr>
          <w:rFonts w:ascii="Arial" w:hAnsi="Arial" w:cs="Arial"/>
          <w:sz w:val="22"/>
          <w:szCs w:val="22"/>
          <w:lang w:val="cs-CZ"/>
        </w:rPr>
        <w:t>uvnitř EU má již 12 členských států (nikoli ČR) vytvořen určitý mechanismus prověrky zahraničních investic. Tyto mechanismy nekontrolují jen investice přicházející ze zemí mimo EU, ale i ty intra-unijní</w:t>
      </w:r>
      <w:r w:rsidR="00653031" w:rsidRPr="00462B53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7"/>
      </w:r>
      <w:r w:rsidRPr="00462B53">
        <w:rPr>
          <w:rFonts w:ascii="Arial" w:hAnsi="Arial" w:cs="Arial"/>
          <w:sz w:val="22"/>
          <w:szCs w:val="22"/>
          <w:lang w:val="cs-CZ"/>
        </w:rPr>
        <w:t>, ačkoli pravidla pro oba druhy investic se „lehce liší“.</w:t>
      </w:r>
      <w:r w:rsidR="00653031" w:rsidRPr="00462B53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8"/>
      </w:r>
      <w:r w:rsidRPr="00462B5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3C36341" w14:textId="0FF027DB" w:rsidR="003963AB" w:rsidRP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Společným prvkem existujících mechanismů kontroly je </w:t>
      </w:r>
      <w:r w:rsidR="00C33765">
        <w:rPr>
          <w:rFonts w:ascii="Arial" w:hAnsi="Arial" w:cs="Arial"/>
          <w:b/>
          <w:sz w:val="22"/>
          <w:szCs w:val="22"/>
          <w:lang w:val="cs-CZ"/>
        </w:rPr>
        <w:t>kombinace kvalitativních a </w:t>
      </w:r>
      <w:r w:rsidRPr="00C33765">
        <w:rPr>
          <w:rFonts w:ascii="Arial" w:hAnsi="Arial" w:cs="Arial"/>
          <w:b/>
          <w:sz w:val="22"/>
          <w:szCs w:val="22"/>
          <w:lang w:val="cs-CZ"/>
        </w:rPr>
        <w:t>kvantitativních kritérií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, na jejichž základě jsou vybírány investice vyžadující prověrku. Ta se zpravidla aplikuje pouze, přichází-li kvalitativně či kvantitativně významná zahraniční investice do sektoru považovaného za strategický (obrana, telekomunikace, doprava, energetika), resp. pokud je sama investice již z podstaty považována za strategickou. Některé národní mechanismy však nejsou omezeny na stanovené sektory a jejich zacílení na investice strategického významu vychází pouze z ilustrativního vyjmenování příkladů takové „strategičnosti“. To znamená, že jen výjimečně je prověrka zúžená na zahraniční investice do obranného průmyslu a většinou má širší záběr pokrývající vše, co stát považuje za významné pro veřejnou bezpečnost a pořádek. Jednota neexistuje ani v tom, zda kontrola probíhá ex-ante či ex-post investičního záměru. Běžná doba kontroly je od dvou do čtyř měsíců, zpravidla s fikcí tacitního souhlasu, není-li po uplynutí </w:t>
      </w:r>
      <w:r w:rsidRPr="00462B53">
        <w:rPr>
          <w:rFonts w:ascii="Arial" w:hAnsi="Arial" w:cs="Arial"/>
          <w:sz w:val="22"/>
          <w:szCs w:val="22"/>
          <w:lang w:val="cs-CZ"/>
        </w:rPr>
        <w:lastRenderedPageBreak/>
        <w:t xml:space="preserve">stanovené lhůty vydáno konkrétní rozhodnutí. Obsahem rozhodnutí je schválení, zákaz, nebo schválení s podmínkami prověřované investice a investor má proti němu v případě nespokojenosti možnost opravných prostředků. </w:t>
      </w:r>
    </w:p>
    <w:p w14:paraId="297D6383" w14:textId="77777777" w:rsidR="00C33765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C33765">
        <w:rPr>
          <w:rFonts w:ascii="Arial" w:hAnsi="Arial" w:cs="Arial"/>
          <w:b/>
          <w:sz w:val="22"/>
          <w:szCs w:val="22"/>
          <w:lang w:val="cs-CZ"/>
        </w:rPr>
        <w:t>EU v současnosti žádný specifický mechanismus kontroly přicházejících investice nemá</w:t>
      </w:r>
      <w:r w:rsidRPr="00462B53">
        <w:rPr>
          <w:rFonts w:ascii="Arial" w:hAnsi="Arial" w:cs="Arial"/>
          <w:sz w:val="22"/>
          <w:szCs w:val="22"/>
          <w:lang w:val="cs-CZ"/>
        </w:rPr>
        <w:t>. Provádí samozřejmě kontrolu fúzí a převzetí s významem pro celý vnitřní t</w:t>
      </w:r>
      <w:r w:rsidR="00FF10E0">
        <w:rPr>
          <w:rFonts w:ascii="Arial" w:hAnsi="Arial" w:cs="Arial"/>
          <w:sz w:val="22"/>
          <w:szCs w:val="22"/>
          <w:lang w:val="cs-CZ"/>
        </w:rPr>
        <w:t>rh, ale ta je realizována jen s </w:t>
      </w:r>
      <w:r w:rsidRPr="00462B53">
        <w:rPr>
          <w:rFonts w:ascii="Arial" w:hAnsi="Arial" w:cs="Arial"/>
          <w:sz w:val="22"/>
          <w:szCs w:val="22"/>
          <w:lang w:val="cs-CZ"/>
        </w:rPr>
        <w:t>ohledem na ochranu funkční hospodářské soutěže. Některá specifická omezení pak vycházejí z unijních sektorových úprav, jako např. nemožnost pro zahraničního vlastníka kontrolovat z 50 a více procent leteckého dopravce licencovaného v EU, bezpečnostní certifikace vlastníků energetických přenosových soustav apod. Absence společného mechanismu může vytvářet napětí mezi členskými státy EU i nejistotu na straně investorů.</w:t>
      </w:r>
    </w:p>
    <w:p w14:paraId="27471DA1" w14:textId="786ED2D0" w:rsidR="00D10D26" w:rsidRP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Komise EU proto navrhuje větší transparentnost a větší koordinaci, a to na základě </w:t>
      </w:r>
      <w:r w:rsidRPr="00C33765">
        <w:rPr>
          <w:rFonts w:ascii="Arial" w:hAnsi="Arial" w:cs="Arial"/>
          <w:b/>
          <w:sz w:val="22"/>
          <w:szCs w:val="22"/>
          <w:lang w:val="cs-CZ"/>
        </w:rPr>
        <w:t xml:space="preserve">jednotné, avšak pouze rámcové právní úpravy 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a skrze vytvoření koordinační skupiny expertů členských států pod předsednictvím Komise. Právní úprava v podobě nařízení EU nemá nahradit národní kontrolní mechanismy jednotnou kontrolou z pozice EU, ale stanovit pravidla zajišťující transparentnost a vzájemnou komunikaci v trojúhelníku: posuzující členský stát – ostatní členské státy – EU. Dle návrhu Komise by tedy mělo jít o „lehčí“ variantu regulace neberoucí rozhodující slovo členskému státu, do něhož investice z ne-členského státu směřuje, a neměnící dosavadní rámec práva EU ani mezinárodně-právní závazky EU a členských států. </w:t>
      </w:r>
    </w:p>
    <w:p w14:paraId="7A03FA70" w14:textId="338C4530" w:rsidR="003963AB" w:rsidRP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Mechanismus obsažený v návrhu nařízení předloženém Komisí se skládá z těchto kroků</w:t>
      </w:r>
      <w:r w:rsidR="00653031" w:rsidRPr="00462B53">
        <w:rPr>
          <w:rStyle w:val="Odkaznapoznmkupodiarou"/>
          <w:rFonts w:ascii="Arial" w:hAnsi="Arial" w:cs="Arial"/>
          <w:sz w:val="22"/>
          <w:szCs w:val="22"/>
          <w:lang w:val="cs-CZ"/>
        </w:rPr>
        <w:footnoteReference w:id="19"/>
      </w:r>
      <w:r w:rsidRPr="00462B53">
        <w:rPr>
          <w:rFonts w:ascii="Arial" w:hAnsi="Arial" w:cs="Arial"/>
          <w:sz w:val="22"/>
          <w:szCs w:val="22"/>
          <w:lang w:val="cs-CZ"/>
        </w:rPr>
        <w:t xml:space="preserve">: </w:t>
      </w:r>
    </w:p>
    <w:p w14:paraId="05AB8311" w14:textId="6835D8C0" w:rsidR="003963AB" w:rsidRPr="00462B53" w:rsidRDefault="003963AB" w:rsidP="00462B53">
      <w:pPr>
        <w:pStyle w:val="Normlnywebov"/>
        <w:numPr>
          <w:ilvl w:val="0"/>
          <w:numId w:val="9"/>
        </w:numPr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Členský stát prověří investici přicházející ze třetí země.</w:t>
      </w:r>
    </w:p>
    <w:p w14:paraId="1FCFD7B4" w14:textId="6A1C43C3" w:rsidR="003963AB" w:rsidRPr="00462B53" w:rsidRDefault="003963AB" w:rsidP="00462B53">
      <w:pPr>
        <w:pStyle w:val="Normlnywebov"/>
        <w:numPr>
          <w:ilvl w:val="0"/>
          <w:numId w:val="9"/>
        </w:numPr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Členský stát informuje Komisi a ostatní členské státy.</w:t>
      </w:r>
    </w:p>
    <w:p w14:paraId="0392D489" w14:textId="596079CA" w:rsidR="003963AB" w:rsidRPr="00462B53" w:rsidRDefault="003963AB" w:rsidP="00462B53">
      <w:pPr>
        <w:pStyle w:val="Normlnywebov"/>
        <w:numPr>
          <w:ilvl w:val="0"/>
          <w:numId w:val="9"/>
        </w:numPr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Komise a ostatní členské státy si mohou vyžádat doplňující informace.</w:t>
      </w:r>
    </w:p>
    <w:p w14:paraId="32F02B77" w14:textId="652D0E13" w:rsidR="003963AB" w:rsidRPr="00462B53" w:rsidRDefault="003963AB" w:rsidP="00462B53">
      <w:pPr>
        <w:pStyle w:val="Normlnywebov"/>
        <w:numPr>
          <w:ilvl w:val="0"/>
          <w:numId w:val="9"/>
        </w:numPr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Členský stát poskytne doplňující informace.</w:t>
      </w:r>
    </w:p>
    <w:p w14:paraId="42C047B3" w14:textId="0702E249" w:rsidR="003963AB" w:rsidRPr="00462B53" w:rsidRDefault="003963AB" w:rsidP="00462B53">
      <w:pPr>
        <w:pStyle w:val="Normlnywebov"/>
        <w:numPr>
          <w:ilvl w:val="0"/>
          <w:numId w:val="9"/>
        </w:numPr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Ostatní členské státy mohou zveřejnit své připomínky, </w:t>
      </w:r>
      <w:r w:rsidR="00462B53">
        <w:rPr>
          <w:rFonts w:ascii="Arial" w:hAnsi="Arial" w:cs="Arial"/>
          <w:sz w:val="22"/>
          <w:szCs w:val="22"/>
          <w:lang w:val="cs-CZ"/>
        </w:rPr>
        <w:t>K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omise může vydat stanovisko. </w:t>
      </w:r>
    </w:p>
    <w:p w14:paraId="658B8534" w14:textId="50647816" w:rsidR="003963AB" w:rsidRPr="00462B53" w:rsidRDefault="003963AB" w:rsidP="00462B53">
      <w:pPr>
        <w:pStyle w:val="Normlnywebov"/>
        <w:numPr>
          <w:ilvl w:val="0"/>
          <w:numId w:val="9"/>
        </w:numPr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>Členský stát náležitě zohlední obdržené připomínky a stanovisko.</w:t>
      </w:r>
    </w:p>
    <w:p w14:paraId="1E154580" w14:textId="77777777" w:rsidR="00C33765" w:rsidRDefault="003963AB" w:rsidP="003963AB">
      <w:pPr>
        <w:pStyle w:val="Normlnywebov"/>
        <w:numPr>
          <w:ilvl w:val="0"/>
          <w:numId w:val="9"/>
        </w:numPr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Členský stát přijme rozhodnutí. </w:t>
      </w:r>
    </w:p>
    <w:p w14:paraId="7B013CC5" w14:textId="51D61CA2" w:rsidR="003963AB" w:rsidRPr="00C33765" w:rsidRDefault="004C7A1B" w:rsidP="00C33765">
      <w:pPr>
        <w:pStyle w:val="Normlnywebov"/>
        <w:spacing w:before="120" w:beforeAutospacing="0" w:after="0" w:afterAutospacing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C33765">
        <w:rPr>
          <w:rFonts w:ascii="Arial" w:hAnsi="Arial" w:cs="Arial"/>
          <w:sz w:val="22"/>
          <w:szCs w:val="22"/>
          <w:lang w:val="cs-CZ"/>
        </w:rPr>
        <w:br/>
      </w:r>
      <w:r w:rsidR="003963AB" w:rsidRPr="00C33765">
        <w:rPr>
          <w:rFonts w:ascii="Arial" w:hAnsi="Arial" w:cs="Arial"/>
          <w:sz w:val="22"/>
          <w:szCs w:val="22"/>
          <w:lang w:val="cs-CZ"/>
        </w:rPr>
        <w:t xml:space="preserve">Mechanismus nařízení dává větší roli Komisi v případech, že se investice dotýká společných evropských projektů jako je Galileo, Eurocontrol atd. V takových případech musí členský stát, do něhož investice směřuje, „v co nejvyšší míře“ zohlednit stanovisko Komise a v případě, že se jejím stanoviskem neřídí, musí poskytnout Komisi vysvětlení. </w:t>
      </w:r>
    </w:p>
    <w:p w14:paraId="79853A9D" w14:textId="77777777" w:rsidR="003963AB" w:rsidRPr="00462B53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t xml:space="preserve">Návrh Komise v zásadě spoléhá na to, že </w:t>
      </w:r>
      <w:r w:rsidRPr="007D4362">
        <w:rPr>
          <w:rFonts w:ascii="Arial" w:hAnsi="Arial" w:cs="Arial"/>
          <w:b/>
          <w:sz w:val="22"/>
          <w:szCs w:val="22"/>
          <w:lang w:val="cs-CZ"/>
        </w:rPr>
        <w:t>mechanismy známé jako peer review a peer pressure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 budou dostatečné k naplnění účelu, kterým je strategická bezpečnost EU skrze větší transparentnost a koordinovanost při přijímání zahraničních investic. To samozřejmě v době, kdy se takový mechanismus rodí, vede k celé řadě otázek: </w:t>
      </w:r>
    </w:p>
    <w:p w14:paraId="5380A071" w14:textId="77777777" w:rsidR="00FF10E0" w:rsidRDefault="003963AB" w:rsidP="003963AB">
      <w:pPr>
        <w:pStyle w:val="Normlnywebov"/>
        <w:numPr>
          <w:ilvl w:val="0"/>
          <w:numId w:val="10"/>
        </w:numPr>
        <w:ind w:left="851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462B53">
        <w:rPr>
          <w:rFonts w:ascii="Arial" w:hAnsi="Arial" w:cs="Arial"/>
          <w:sz w:val="22"/>
          <w:szCs w:val="22"/>
          <w:lang w:val="cs-CZ"/>
        </w:rPr>
        <w:lastRenderedPageBreak/>
        <w:t>Návrh nařízení neukládá členským státům zavést národní mechanismy prověřování zahraničních investic, ale logicky počítá s tím, že se členské státy do tohoto mechanismu zapojí, a to jak na straně prověřujících, tak i připomínkujících. Jakmile se členský stát rozhodne takový mechanismus zavést, jeho základní parametry musejí respektovat principy stanovené nařízením</w:t>
      </w:r>
      <w:r w:rsidR="00823D15" w:rsidRPr="00462B53">
        <w:rPr>
          <w:rFonts w:ascii="Arial" w:hAnsi="Arial" w:cs="Arial"/>
          <w:sz w:val="22"/>
          <w:szCs w:val="22"/>
          <w:lang w:val="cs-CZ"/>
        </w:rPr>
        <w:t>,</w:t>
      </w:r>
      <w:r w:rsidRPr="00462B53">
        <w:rPr>
          <w:rFonts w:ascii="Arial" w:hAnsi="Arial" w:cs="Arial"/>
          <w:sz w:val="22"/>
          <w:szCs w:val="22"/>
          <w:lang w:val="cs-CZ"/>
        </w:rPr>
        <w:t xml:space="preserve"> jako jsou transparentnost, nediskriminace mezi investory z třetích zemí (vyjma případů, kdy je investor ovládán či financován vládou třetí země), ochrana citlivých informací, možnost přezkumu přijatých rozhodnutí… a samozřejmě zapojení se do mechanismu spolupráce založeného nařízením.  Své prověřovací mechanismy musejí členské státy Komisi notifikovat a ty, které je nezavedou, musejí Komisi alespoň předkládat výroční zprávy o přímých zahraničních investicích, které byly uskutečněny na jejich území. Před ČR tedy stojí aktuální otázky, jakou pozici bude při projednávání a schvalování návrhu zastávat, zda a jaký přesně mechanismus prověrky zahraničních investic interně zavede, a také nakolik se pak nechá ovlivňovat názory velkých členských zemí, jejichž investoři stojí na čele mnoha sektorů našeho národního hospodářství.  </w:t>
      </w:r>
    </w:p>
    <w:p w14:paraId="16221EA7" w14:textId="201732E9" w:rsidR="00FF10E0" w:rsidRDefault="003963AB" w:rsidP="003963AB">
      <w:pPr>
        <w:pStyle w:val="Normlnywebov"/>
        <w:numPr>
          <w:ilvl w:val="0"/>
          <w:numId w:val="10"/>
        </w:numPr>
        <w:ind w:left="851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FF10E0">
        <w:rPr>
          <w:rFonts w:ascii="Arial" w:hAnsi="Arial" w:cs="Arial"/>
          <w:sz w:val="22"/>
          <w:szCs w:val="22"/>
          <w:lang w:val="cs-CZ"/>
        </w:rPr>
        <w:t>Návrh obsahuje jen obecný indikativní výčet aktiv či sektorů, kterým náleží strategická ochrana. Pojmům „kritická“ infrastruktura, technologie či vstupy obsažených v nařízení lze dát restriktivní i extenzivní výklad a zejména v případě ochrany dodavatelských řetězců považovaných některými členskými státy za „strategické“ může vést k řadě nepříjemných překvapení. V komentářích se již objevily otázky, zda bude Francie chránit své mlékárenství či Dánsko své prasečí farmy… což by při nakažlivosti podobných příkladů mohlo vést k tlaku na ochranu téměř veškeré zemědělsko-potravinářské části národních hospodářství. Podobně bezbřehé může bý</w:t>
      </w:r>
      <w:r w:rsidR="00FF10E0">
        <w:rPr>
          <w:rFonts w:ascii="Arial" w:hAnsi="Arial" w:cs="Arial"/>
          <w:sz w:val="22"/>
          <w:szCs w:val="22"/>
          <w:lang w:val="cs-CZ"/>
        </w:rPr>
        <w:t>t označení každého na výzkumu a </w:t>
      </w:r>
      <w:r w:rsidRPr="00FF10E0">
        <w:rPr>
          <w:rFonts w:ascii="Arial" w:hAnsi="Arial" w:cs="Arial"/>
          <w:sz w:val="22"/>
          <w:szCs w:val="22"/>
          <w:lang w:val="cs-CZ"/>
        </w:rPr>
        <w:t>vývoji technologií postaveného podnikání za „strategické“, opět s dopady na příliv investic, fúze a převzetí v daných sektorech, odchod talentů z nich mimo EU atd. Je zcela zřejmé, že čím extenzivnější interpretace se „kritickým“ technologiím či vstupům dostane, tím více se bude jejich ochrana prolínat s och</w:t>
      </w:r>
      <w:r w:rsidR="00FF10E0">
        <w:rPr>
          <w:rFonts w:ascii="Arial" w:hAnsi="Arial" w:cs="Arial"/>
          <w:sz w:val="22"/>
          <w:szCs w:val="22"/>
          <w:lang w:val="cs-CZ"/>
        </w:rPr>
        <w:t>ranářskými instinkty a pokusy o </w:t>
      </w:r>
      <w:r w:rsidRPr="00FF10E0">
        <w:rPr>
          <w:rFonts w:ascii="Arial" w:hAnsi="Arial" w:cs="Arial"/>
          <w:sz w:val="22"/>
          <w:szCs w:val="22"/>
          <w:lang w:val="cs-CZ"/>
        </w:rPr>
        <w:t>ochranu a podporu „národních šampionů“. Ačkoli EU jako celek v tomto ohledu ve světovém měřítku velmi umírněná a otevřená, je zřejmé, že jakýkoli podobný vývoj by svědčil podnikatelským skupinám velkých členských zem</w:t>
      </w:r>
      <w:r w:rsidR="00FF10E0">
        <w:rPr>
          <w:rFonts w:ascii="Arial" w:hAnsi="Arial" w:cs="Arial"/>
          <w:sz w:val="22"/>
          <w:szCs w:val="22"/>
          <w:lang w:val="cs-CZ"/>
        </w:rPr>
        <w:t>í daleko více, než kapitálově i </w:t>
      </w:r>
      <w:r w:rsidRPr="00FF10E0">
        <w:rPr>
          <w:rFonts w:ascii="Arial" w:hAnsi="Arial" w:cs="Arial"/>
          <w:sz w:val="22"/>
          <w:szCs w:val="22"/>
          <w:lang w:val="cs-CZ"/>
        </w:rPr>
        <w:t xml:space="preserve">lobbisticky slabším podnikům z členských zemí střední a východní Evropy. </w:t>
      </w:r>
    </w:p>
    <w:p w14:paraId="107937FF" w14:textId="77B3F1C0" w:rsidR="00D10D26" w:rsidRPr="00FF10E0" w:rsidRDefault="003963AB" w:rsidP="003963AB">
      <w:pPr>
        <w:pStyle w:val="Normlnywebov"/>
        <w:numPr>
          <w:ilvl w:val="0"/>
          <w:numId w:val="10"/>
        </w:numPr>
        <w:ind w:left="851"/>
        <w:jc w:val="both"/>
        <w:outlineLvl w:val="0"/>
        <w:rPr>
          <w:rFonts w:ascii="Arial" w:hAnsi="Arial" w:cs="Arial"/>
          <w:sz w:val="22"/>
          <w:szCs w:val="22"/>
          <w:lang w:val="cs-CZ"/>
        </w:rPr>
        <w:sectPr w:rsidR="00D10D26" w:rsidRPr="00FF10E0" w:rsidSect="00153791">
          <w:pgSz w:w="12240" w:h="15840"/>
          <w:pgMar w:top="909" w:right="1440" w:bottom="1440" w:left="1440" w:header="794" w:footer="720" w:gutter="0"/>
          <w:cols w:space="720"/>
          <w:docGrid w:linePitch="360"/>
        </w:sectPr>
      </w:pPr>
      <w:r w:rsidRPr="00FF10E0">
        <w:rPr>
          <w:rFonts w:ascii="Arial" w:hAnsi="Arial" w:cs="Arial"/>
          <w:sz w:val="22"/>
          <w:szCs w:val="22"/>
          <w:lang w:val="cs-CZ"/>
        </w:rPr>
        <w:t>Z pohledu ČR, která se snaží diversifikovat své zahraničně obchodní vazby je zajímavá i pozornost, kterou návrh na několika místech věnuje zahraničním investorům ovládaným, kontrolovaným či financovaným vládami tř</w:t>
      </w:r>
      <w:r w:rsidR="00FF10E0">
        <w:rPr>
          <w:rFonts w:ascii="Arial" w:hAnsi="Arial" w:cs="Arial"/>
          <w:sz w:val="22"/>
          <w:szCs w:val="22"/>
          <w:lang w:val="cs-CZ"/>
        </w:rPr>
        <w:t>etích zemí. Všechny komentáře v </w:t>
      </w:r>
      <w:r w:rsidRPr="00FF10E0">
        <w:rPr>
          <w:rFonts w:ascii="Arial" w:hAnsi="Arial" w:cs="Arial"/>
          <w:sz w:val="22"/>
          <w:szCs w:val="22"/>
          <w:lang w:val="cs-CZ"/>
        </w:rPr>
        <w:t xml:space="preserve">tom spatřují odkaz na současnou Čínu, z perspektivy ČR to vedle čínských investic může platit i pro investice ruské. Ačkoli budoucí nařízení nebude žádná rozhodnutí ohledně přípustnosti či nepřípustnosti zahraniční investice striktně „nařizovat“, je zřejmé, že větší koordinace a rozsáhlejší peer pressure budou vykonávat tlak na jednotnější postoj EU k zahraničním investorům ze zemí, kde stát či vládnoucí politická strana pevně řídí zahraničně obchodní a investiční strategii. </w:t>
      </w:r>
    </w:p>
    <w:p w14:paraId="01ED68F6" w14:textId="77777777" w:rsidR="003963AB" w:rsidRPr="00EB59BC" w:rsidRDefault="003963AB" w:rsidP="00EB59BC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EB59BC">
        <w:rPr>
          <w:rFonts w:ascii="Arial" w:hAnsi="Arial" w:cs="Arial"/>
          <w:b/>
          <w:bCs/>
          <w:sz w:val="32"/>
          <w:szCs w:val="32"/>
        </w:rPr>
        <w:lastRenderedPageBreak/>
        <w:t>Možnosti posílení hlasu EU a eurozóny v mezinárodních organizacích</w:t>
      </w:r>
    </w:p>
    <w:p w14:paraId="0BE050FB" w14:textId="77777777" w:rsidR="003963AB" w:rsidRPr="00FF10E0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t xml:space="preserve">Zpráva pěti prezidentů přinesla vedle řady návrhů na doplnění chybějících institučních prvků eurozóny i ideu </w:t>
      </w:r>
      <w:r w:rsidRPr="007D4362">
        <w:rPr>
          <w:rFonts w:ascii="Arial" w:hAnsi="Arial" w:cs="Arial"/>
          <w:b/>
          <w:sz w:val="22"/>
          <w:szCs w:val="22"/>
          <w:lang w:val="cs-CZ" w:eastAsia="cs-CZ"/>
        </w:rPr>
        <w:t>posílení vnějšího zastoupení eurozóny v mezinárodních organizacích a na mezinárodních fórech</w:t>
      </w:r>
      <w:r w:rsidRPr="00FF10E0">
        <w:rPr>
          <w:rFonts w:ascii="Arial" w:hAnsi="Arial" w:cs="Arial"/>
          <w:sz w:val="22"/>
          <w:szCs w:val="22"/>
          <w:lang w:val="cs-CZ" w:eastAsia="cs-CZ"/>
        </w:rPr>
        <w:t>. Tato idea má oporu v článku č. 138 Lisabonské smlouvy (konsolidované znění SFEU), jehož interpretace vztahu mezi státy eurozóny a všemi členskými státy EU se může v konkrétních případech lišit.</w:t>
      </w:r>
    </w:p>
    <w:p w14:paraId="378F55B9" w14:textId="77777777" w:rsidR="003963AB" w:rsidRPr="00FF10E0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t>Explicitně je zde vyjádřena idea vlastního zástupce eurozóny v R</w:t>
      </w:r>
      <w:r w:rsidRPr="007D4362">
        <w:rPr>
          <w:rFonts w:ascii="Arial" w:hAnsi="Arial" w:cs="Arial"/>
          <w:b/>
          <w:sz w:val="22"/>
          <w:szCs w:val="22"/>
          <w:lang w:val="cs-CZ" w:eastAsia="cs-CZ"/>
        </w:rPr>
        <w:t>adě Mezinárodního měnového fondu</w:t>
      </w:r>
      <w:r w:rsidRPr="00FF10E0">
        <w:rPr>
          <w:rFonts w:ascii="Arial" w:hAnsi="Arial" w:cs="Arial"/>
          <w:sz w:val="22"/>
          <w:szCs w:val="22"/>
          <w:lang w:val="cs-CZ" w:eastAsia="cs-CZ"/>
        </w:rPr>
        <w:t>. Zde mají dosud vlastního zástupce na ministerské úrovni i na úrovni výkonné rady MMF (executive board) pouze představitelé členských států – buď přímo v případě ministrů financí nebo prostřednictví rotace v konstituencích v případě výkonné rady. Největší země EU mají ve výkonné radě vlastní stálé místo.</w:t>
      </w:r>
    </w:p>
    <w:p w14:paraId="10D86EF2" w14:textId="77777777" w:rsidR="003963AB" w:rsidRPr="00FF10E0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t>Ambicí zprávy a následného sdělení Evropské komise je pozice člena výkonné rady MMF, který by reprezentoval eurozónu jako celek (šéf nově vytvořené konstituence členských zemí eurozóny) a šéfa euroskupiny, který by reprezentoval eurozónu na úrovni ministrů financí.</w:t>
      </w:r>
    </w:p>
    <w:p w14:paraId="67A3183F" w14:textId="77777777" w:rsidR="00FF10E0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t>V praxi to znamená, že by v rámci MMF muselo zřejmě dojít k reformě konstituencí, protože řada menších členských zemí dnes rotuje ve společných konstituencích s nečleny EU. Architekturu současného corporate governance v Mezinárodním měnovém fondu s důrazem na členské země EU přináší následující schéma:</w:t>
      </w:r>
    </w:p>
    <w:p w14:paraId="7E0F25EA" w14:textId="2EAA696E" w:rsidR="00C531EF" w:rsidRPr="00EB59BC" w:rsidRDefault="00C531EF" w:rsidP="003963AB">
      <w:pPr>
        <w:pStyle w:val="Normlnywebov"/>
        <w:jc w:val="both"/>
        <w:outlineLvl w:val="0"/>
        <w:rPr>
          <w:rFonts w:ascii="Arial" w:hAnsi="Arial" w:cs="Arial"/>
          <w:lang w:val="cs-CZ" w:eastAsia="cs-CZ"/>
        </w:rPr>
      </w:pPr>
    </w:p>
    <w:p w14:paraId="6746B4AB" w14:textId="77777777" w:rsidR="00FF10E0" w:rsidRDefault="00C531EF" w:rsidP="003963AB">
      <w:pPr>
        <w:pStyle w:val="Normlnywebov"/>
        <w:jc w:val="both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FF10E0">
        <w:rPr>
          <w:rFonts w:ascii="Arial" w:hAnsi="Arial" w:cs="Arial"/>
          <w:b/>
          <w:sz w:val="22"/>
          <w:szCs w:val="22"/>
          <w:lang w:val="cs-CZ"/>
        </w:rPr>
        <w:t>Schéma 2: Stávající složení konstituencí a výkonná rada MMF</w:t>
      </w:r>
    </w:p>
    <w:p w14:paraId="5A24EED0" w14:textId="3BE71185" w:rsidR="003963AB" w:rsidRPr="00FF10E0" w:rsidRDefault="00C531EF" w:rsidP="003963AB">
      <w:pPr>
        <w:pStyle w:val="Normlnywebov"/>
        <w:jc w:val="both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br/>
      </w:r>
      <w:r w:rsidRPr="00FF10E0">
        <w:rPr>
          <w:rFonts w:ascii="Arial" w:hAnsi="Arial" w:cs="Arial"/>
          <w:i/>
          <w:sz w:val="22"/>
          <w:szCs w:val="22"/>
          <w:lang w:val="cs-CZ" w:eastAsia="cs-CZ"/>
        </w:rPr>
        <w:t>„24-členná výkonná rada MMF se stará o každodenní činnost MMF. Společně těchto 24 členů představenstva představuje všech 188 zemí. Velké ekonomiky, jako jsou Spojené státy a Čína, mají své místo u stolu. EU, Německo, Francie a Velká Británie mají svá vlastní sedadla. Ale většina zemí je seskupena do volebních obvodů představujících 4 až 24 zemí. 19 členských států eurozóny je rozloženo na šest volebních obvodů, EU na sedm. Tyto volební obvody jsou důležité, protože země se musí dohodnout na jednom společném postoj</w:t>
      </w:r>
      <w:r w:rsidR="00FF10E0">
        <w:rPr>
          <w:rFonts w:ascii="Arial" w:hAnsi="Arial" w:cs="Arial"/>
          <w:i/>
          <w:sz w:val="22"/>
          <w:szCs w:val="22"/>
          <w:lang w:val="cs-CZ" w:eastAsia="cs-CZ"/>
        </w:rPr>
        <w:t>i pro volební obvod. Vzhledem k </w:t>
      </w:r>
      <w:r w:rsidRPr="00FF10E0">
        <w:rPr>
          <w:rFonts w:ascii="Arial" w:hAnsi="Arial" w:cs="Arial"/>
          <w:i/>
          <w:sz w:val="22"/>
          <w:szCs w:val="22"/>
          <w:lang w:val="cs-CZ" w:eastAsia="cs-CZ"/>
        </w:rPr>
        <w:t>současnému institucionálnímu uspořádání eurozóna nevystupuje jednotně.“</w:t>
      </w:r>
    </w:p>
    <w:p w14:paraId="313A1D31" w14:textId="41B2866D" w:rsidR="0043037F" w:rsidRPr="00EB59BC" w:rsidRDefault="0043037F" w:rsidP="003963AB">
      <w:pPr>
        <w:pStyle w:val="Normlnywebov"/>
        <w:jc w:val="both"/>
        <w:outlineLvl w:val="0"/>
        <w:rPr>
          <w:rFonts w:ascii="Arial" w:hAnsi="Arial" w:cs="Arial"/>
          <w:lang w:val="cs-CZ" w:eastAsia="cs-CZ"/>
        </w:rPr>
      </w:pPr>
    </w:p>
    <w:p w14:paraId="78DBE719" w14:textId="273DB2AE" w:rsidR="00776A77" w:rsidRPr="00EB59BC" w:rsidRDefault="00776A77" w:rsidP="003963AB">
      <w:pPr>
        <w:pStyle w:val="Normlnywebov"/>
        <w:jc w:val="both"/>
        <w:outlineLvl w:val="0"/>
        <w:rPr>
          <w:rFonts w:ascii="Arial" w:hAnsi="Arial" w:cs="Arial"/>
          <w:lang w:val="cs-CZ" w:eastAsia="cs-CZ"/>
        </w:rPr>
      </w:pPr>
    </w:p>
    <w:p w14:paraId="04FC75C9" w14:textId="643F58D0" w:rsidR="00776A77" w:rsidRPr="00EB59BC" w:rsidRDefault="00776A77" w:rsidP="003963AB">
      <w:pPr>
        <w:pStyle w:val="Normlnywebov"/>
        <w:jc w:val="both"/>
        <w:outlineLvl w:val="0"/>
        <w:rPr>
          <w:rFonts w:ascii="Arial" w:hAnsi="Arial" w:cs="Arial"/>
          <w:lang w:val="cs-CZ" w:eastAsia="cs-CZ"/>
        </w:rPr>
      </w:pPr>
    </w:p>
    <w:p w14:paraId="55EA848B" w14:textId="0FC19022" w:rsidR="003963AB" w:rsidRPr="00EB59BC" w:rsidRDefault="00C531EF" w:rsidP="00E54A88">
      <w:pPr>
        <w:rPr>
          <w:rFonts w:ascii="Arial" w:hAnsi="Arial" w:cs="Arial"/>
          <w:b/>
          <w:bCs/>
          <w:color w:val="FF0000"/>
          <w:lang w:val="cs-CZ"/>
        </w:rPr>
      </w:pPr>
      <w:r w:rsidRPr="00EB59BC">
        <w:rPr>
          <w:noProof/>
          <w:lang w:val="sk-SK" w:eastAsia="sk-SK"/>
        </w:rPr>
        <w:lastRenderedPageBreak/>
        <w:drawing>
          <wp:inline distT="0" distB="0" distL="0" distR="0" wp14:anchorId="2B721E80" wp14:editId="303151BF">
            <wp:extent cx="5946652" cy="748088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0085" t="10211" r="32492" b="6045"/>
                    <a:stretch/>
                  </pic:blipFill>
                  <pic:spPr bwMode="auto">
                    <a:xfrm>
                      <a:off x="0" y="0"/>
                      <a:ext cx="5960517" cy="749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F0A47" w14:textId="4A1B30A9" w:rsidR="006F4F81" w:rsidRPr="00FF10E0" w:rsidRDefault="006F4F81" w:rsidP="006F4F81">
      <w:pPr>
        <w:rPr>
          <w:rFonts w:ascii="Arial" w:eastAsia="Times New Roman" w:hAnsi="Arial" w:cs="Arial"/>
          <w:i/>
          <w:sz w:val="20"/>
          <w:szCs w:val="20"/>
          <w:lang w:val="cs-CZ"/>
        </w:rPr>
      </w:pPr>
      <w:r w:rsidRPr="00FF10E0">
        <w:rPr>
          <w:rFonts w:ascii="Arial" w:hAnsi="Arial" w:cs="Arial"/>
          <w:i/>
          <w:sz w:val="20"/>
          <w:szCs w:val="20"/>
          <w:lang w:val="cs-CZ" w:eastAsia="cs-CZ"/>
        </w:rPr>
        <w:t xml:space="preserve">Zdroj: </w:t>
      </w:r>
      <w:r w:rsidRPr="00FF10E0">
        <w:rPr>
          <w:rFonts w:ascii="Arial" w:eastAsia="Times New Roman" w:hAnsi="Arial" w:cs="Arial"/>
          <w:i/>
          <w:sz w:val="20"/>
          <w:szCs w:val="20"/>
          <w:lang w:val="cs-CZ"/>
        </w:rPr>
        <w:t>Evropská komise (2015). Completing Europe's Economic and Monetary Union (THE EXTERNAL REPRESENTATION OF THE EURO).</w:t>
      </w:r>
    </w:p>
    <w:p w14:paraId="20EBA050" w14:textId="46842B49" w:rsidR="003963AB" w:rsidRPr="00FF10E0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lastRenderedPageBreak/>
        <w:t>Z různých diskusních materiálu publikovaných institucemi EU nevyplývá uvědomění si potřeby posíleného členství v jiných etablovaných mezinárodních organizacích i fórech, buď proto, že relevantní plnohodnotné zastoupení EU či eurozóny dle povahy instituce už existuje, nebo – jako v případě agend Světové banky – neohrožuje sílu EU ani eurozóny, že jako celek není ve vrcholných orgánech zastoupena. Přehled zastoupení EU a eurozóny ve vrcholných mezinárodních organizacích a fórech přináší následující tabulka:</w:t>
      </w:r>
    </w:p>
    <w:p w14:paraId="577D6636" w14:textId="4F71F372" w:rsidR="00776A77" w:rsidRPr="00FF10E0" w:rsidRDefault="00776A77" w:rsidP="00776A77">
      <w:pPr>
        <w:spacing w:after="120"/>
        <w:rPr>
          <w:rFonts w:ascii="Arial" w:hAnsi="Arial" w:cs="Arial"/>
          <w:b/>
          <w:sz w:val="22"/>
          <w:szCs w:val="22"/>
          <w:lang w:val="cs-CZ"/>
        </w:rPr>
      </w:pPr>
      <w:r w:rsidRPr="00FF10E0">
        <w:rPr>
          <w:rFonts w:ascii="Arial" w:hAnsi="Arial" w:cs="Arial"/>
          <w:b/>
          <w:sz w:val="22"/>
          <w:szCs w:val="22"/>
          <w:lang w:val="cs-CZ"/>
        </w:rPr>
        <w:t xml:space="preserve">Tabulka 6: </w:t>
      </w:r>
      <w:r w:rsidR="009228AE" w:rsidRPr="00FF10E0">
        <w:rPr>
          <w:rFonts w:ascii="Arial" w:hAnsi="Arial" w:cs="Arial"/>
          <w:b/>
          <w:sz w:val="22"/>
          <w:szCs w:val="22"/>
          <w:lang w:val="cs-CZ"/>
        </w:rPr>
        <w:t>Přehled způsobu zastoupení EU a Eurozóny v nejdůležitějších mezinárodních institucích</w:t>
      </w:r>
    </w:p>
    <w:p w14:paraId="61954A8F" w14:textId="77777777" w:rsidR="00C531EF" w:rsidRPr="00FF10E0" w:rsidRDefault="00C531EF" w:rsidP="00776A77">
      <w:pPr>
        <w:spacing w:after="120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Style w:val="Svtlmkatabulky1"/>
        <w:tblW w:w="9067" w:type="dxa"/>
        <w:tblLayout w:type="fixed"/>
        <w:tblLook w:val="0000" w:firstRow="0" w:lastRow="0" w:firstColumn="0" w:lastColumn="0" w:noHBand="0" w:noVBand="0"/>
      </w:tblPr>
      <w:tblGrid>
        <w:gridCol w:w="4329"/>
        <w:gridCol w:w="4738"/>
      </w:tblGrid>
      <w:tr w:rsidR="003963AB" w:rsidRPr="00FF10E0" w14:paraId="0D7021CF" w14:textId="77777777" w:rsidTr="001E2426">
        <w:trPr>
          <w:trHeight w:val="107"/>
        </w:trPr>
        <w:tc>
          <w:tcPr>
            <w:tcW w:w="4329" w:type="dxa"/>
          </w:tcPr>
          <w:p w14:paraId="0A71F269" w14:textId="693F805B" w:rsidR="003963AB" w:rsidRPr="00FF10E0" w:rsidRDefault="00FF10E0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Instituce</w:t>
            </w:r>
            <w:r w:rsidR="003963AB" w:rsidRPr="00FF10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738" w:type="dxa"/>
          </w:tcPr>
          <w:p w14:paraId="506D5559" w14:textId="08754059" w:rsidR="003963AB" w:rsidRPr="00FF10E0" w:rsidRDefault="00A65934" w:rsidP="00FF10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s-CZ"/>
              </w:rPr>
              <w:t>Aktuální stav členství čí zastoupení EU/ eurozóny</w:t>
            </w:r>
          </w:p>
        </w:tc>
      </w:tr>
      <w:tr w:rsidR="003963AB" w:rsidRPr="00FF10E0" w14:paraId="3A397E79" w14:textId="77777777" w:rsidTr="008966D3">
        <w:trPr>
          <w:trHeight w:val="1393"/>
        </w:trPr>
        <w:tc>
          <w:tcPr>
            <w:tcW w:w="4329" w:type="dxa"/>
          </w:tcPr>
          <w:p w14:paraId="21CDB9F3" w14:textId="0C2A4350" w:rsidR="003963AB" w:rsidRPr="00FF10E0" w:rsidRDefault="00FF10E0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MMF</w:t>
            </w:r>
            <w:r w:rsidR="003963AB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738" w:type="dxa"/>
          </w:tcPr>
          <w:p w14:paraId="6C635825" w14:textId="68D20C05" w:rsidR="003963AB" w:rsidRPr="00FF10E0" w:rsidRDefault="002341B3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Unie nemá v MMF oficiální status. Komise má postavení pozorovatele v Mezinárodním měnovém a finančním výboru (IMFC), nikoliv však ve výkonné radě MMF. ECB má status pozorovatele jak v IMFC, tak ve správní radě.</w:t>
            </w:r>
          </w:p>
        </w:tc>
      </w:tr>
      <w:tr w:rsidR="003963AB" w:rsidRPr="00FF10E0" w14:paraId="1E1FEB9E" w14:textId="77777777" w:rsidTr="008966D3">
        <w:trPr>
          <w:trHeight w:val="1398"/>
        </w:trPr>
        <w:tc>
          <w:tcPr>
            <w:tcW w:w="4329" w:type="dxa"/>
          </w:tcPr>
          <w:p w14:paraId="4AB5CBB0" w14:textId="77777777" w:rsidR="003963AB" w:rsidRPr="00FF10E0" w:rsidRDefault="003963AB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G7 </w:t>
            </w:r>
          </w:p>
        </w:tc>
        <w:tc>
          <w:tcPr>
            <w:tcW w:w="4738" w:type="dxa"/>
          </w:tcPr>
          <w:p w14:paraId="3B53EFB6" w14:textId="3447CA8A" w:rsidR="003963AB" w:rsidRPr="00FF10E0" w:rsidRDefault="008966D3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Na úrovni </w:t>
            </w:r>
            <w:r w:rsidR="00A84B35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nejvyšších představitelů G7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je Unie společně zastoupena předsedou Komise a předsedou Evropské rady. Pro schůzky ministrů financí zemí G7 je Unie zastoupena Komisí, ECB a předsedou Euroskupiny.</w:t>
            </w:r>
          </w:p>
        </w:tc>
      </w:tr>
      <w:tr w:rsidR="003963AB" w:rsidRPr="00FF10E0" w14:paraId="5B54AE83" w14:textId="77777777" w:rsidTr="008966D3">
        <w:trPr>
          <w:trHeight w:val="1405"/>
        </w:trPr>
        <w:tc>
          <w:tcPr>
            <w:tcW w:w="4329" w:type="dxa"/>
          </w:tcPr>
          <w:p w14:paraId="499EBF59" w14:textId="77777777" w:rsidR="003963AB" w:rsidRPr="00FF10E0" w:rsidRDefault="003963AB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G20 </w:t>
            </w:r>
          </w:p>
        </w:tc>
        <w:tc>
          <w:tcPr>
            <w:tcW w:w="4738" w:type="dxa"/>
          </w:tcPr>
          <w:p w14:paraId="6A1FA6F3" w14:textId="4F7CB15D" w:rsidR="003963AB" w:rsidRPr="00FF10E0" w:rsidRDefault="008966D3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Unie je řádným členem skupiny G20. Na úrovni </w:t>
            </w:r>
            <w:r w:rsidR="00A84B35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nejvyšších představitelů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je Unie společně zastoupena předsedou Komise a předsedou Evropské rady. Pro schůze ministrů financí je Unie zastoupena Komisí, předsednictvím Rady a ECB.</w:t>
            </w:r>
          </w:p>
        </w:tc>
      </w:tr>
      <w:tr w:rsidR="003963AB" w:rsidRPr="00FF10E0" w14:paraId="69B04308" w14:textId="77777777" w:rsidTr="008966D3">
        <w:trPr>
          <w:trHeight w:val="1223"/>
        </w:trPr>
        <w:tc>
          <w:tcPr>
            <w:tcW w:w="4329" w:type="dxa"/>
          </w:tcPr>
          <w:p w14:paraId="5AB7C98E" w14:textId="77777777" w:rsidR="003963AB" w:rsidRPr="00FF10E0" w:rsidRDefault="003963AB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FSB </w:t>
            </w:r>
          </w:p>
        </w:tc>
        <w:tc>
          <w:tcPr>
            <w:tcW w:w="4738" w:type="dxa"/>
          </w:tcPr>
          <w:p w14:paraId="57BC30FD" w14:textId="4A12C37C" w:rsidR="003963AB" w:rsidRPr="00FF10E0" w:rsidRDefault="008966D3" w:rsidP="008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Unie je řádným členem Rady pro finanční stabilitu. Mezi další členy FSB patří země skupiny G20 a řada dalších významných ekonomik a mezinárodních organizací.</w:t>
            </w:r>
          </w:p>
        </w:tc>
      </w:tr>
      <w:tr w:rsidR="003963AB" w:rsidRPr="00FF10E0" w14:paraId="571C27B7" w14:textId="77777777" w:rsidTr="008966D3">
        <w:trPr>
          <w:trHeight w:val="2449"/>
        </w:trPr>
        <w:tc>
          <w:tcPr>
            <w:tcW w:w="4329" w:type="dxa"/>
          </w:tcPr>
          <w:p w14:paraId="2A08840B" w14:textId="77777777" w:rsidR="003963AB" w:rsidRPr="00FF10E0" w:rsidRDefault="003963AB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OECD </w:t>
            </w:r>
          </w:p>
        </w:tc>
        <w:tc>
          <w:tcPr>
            <w:tcW w:w="4738" w:type="dxa"/>
          </w:tcPr>
          <w:p w14:paraId="23BE5052" w14:textId="78AD8791" w:rsidR="003963AB" w:rsidRPr="00FF10E0" w:rsidRDefault="008966D3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Unie má v OECD zvláštní postavení, které je definováno dodatkovým protokolem č. 1 k Úmluvě OECD a interpretováno stanoviskem právní služby OECD. Unie má stejné výsady jako členové se dvěma výjimkami: Unie nemá právo hlasovat a neposkytuje statutární příspěvek do rozpočtu OECD. Unie je řádným členem mnoha výborů OECD, zejména Výboru pro rozvojovou pomoc (DAC).</w:t>
            </w:r>
          </w:p>
        </w:tc>
      </w:tr>
      <w:tr w:rsidR="003963AB" w:rsidRPr="00FF10E0" w14:paraId="1F5D35A8" w14:textId="77777777" w:rsidTr="00C531EF">
        <w:trPr>
          <w:trHeight w:val="103"/>
        </w:trPr>
        <w:tc>
          <w:tcPr>
            <w:tcW w:w="4329" w:type="dxa"/>
          </w:tcPr>
          <w:p w14:paraId="6E2C6DB8" w14:textId="7359FBDE" w:rsidR="003963AB" w:rsidRPr="00FF10E0" w:rsidRDefault="00FF10E0" w:rsidP="00FF10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Světová banka</w:t>
            </w:r>
            <w:r w:rsidR="003963AB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738" w:type="dxa"/>
          </w:tcPr>
          <w:p w14:paraId="397A2EAB" w14:textId="364BC4FF" w:rsidR="003963AB" w:rsidRPr="00FF10E0" w:rsidRDefault="008966D3" w:rsidP="008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Unie jako taková není zastoupena ve výkonné radě Světové banky. Komise má statut pozorovatele ve Výboru pro rozvoj (tj. </w:t>
            </w:r>
            <w:r w:rsidR="00A84B35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n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a úrovni ministrů).</w:t>
            </w:r>
          </w:p>
        </w:tc>
      </w:tr>
      <w:tr w:rsidR="003963AB" w:rsidRPr="00FF10E0" w14:paraId="4AE12AD1" w14:textId="77777777" w:rsidTr="008966D3">
        <w:trPr>
          <w:trHeight w:val="742"/>
        </w:trPr>
        <w:tc>
          <w:tcPr>
            <w:tcW w:w="4329" w:type="dxa"/>
          </w:tcPr>
          <w:p w14:paraId="55E03836" w14:textId="77777777" w:rsidR="003963AB" w:rsidRPr="00FF10E0" w:rsidRDefault="003963AB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lastRenderedPageBreak/>
              <w:t xml:space="preserve">BIS </w:t>
            </w:r>
          </w:p>
        </w:tc>
        <w:tc>
          <w:tcPr>
            <w:tcW w:w="4738" w:type="dxa"/>
          </w:tcPr>
          <w:p w14:paraId="15D942B7" w14:textId="265F9A82" w:rsidR="003963AB" w:rsidRPr="00FF10E0" w:rsidRDefault="008966D3" w:rsidP="008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ECB má </w:t>
            </w:r>
            <w:r w:rsidR="00A84B35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křeslo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v Bance pro mezinárodní platby. Členství v BIS je omezeno na centrální banky.</w:t>
            </w:r>
          </w:p>
        </w:tc>
      </w:tr>
      <w:tr w:rsidR="003963AB" w:rsidRPr="00FF10E0" w14:paraId="6FDBA301" w14:textId="77777777" w:rsidTr="008966D3">
        <w:trPr>
          <w:trHeight w:val="1135"/>
        </w:trPr>
        <w:tc>
          <w:tcPr>
            <w:tcW w:w="4329" w:type="dxa"/>
          </w:tcPr>
          <w:p w14:paraId="3B346094" w14:textId="77777777" w:rsidR="003963AB" w:rsidRPr="00FF10E0" w:rsidRDefault="003963AB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EBRD </w:t>
            </w:r>
          </w:p>
        </w:tc>
        <w:tc>
          <w:tcPr>
            <w:tcW w:w="4738" w:type="dxa"/>
          </w:tcPr>
          <w:p w14:paraId="6369E0A2" w14:textId="527CAD26" w:rsidR="003963AB" w:rsidRPr="00FF10E0" w:rsidRDefault="00A84B35" w:rsidP="001E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V</w:t>
            </w:r>
            <w:r w:rsidR="008966D3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EBRD 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je zastoupeno</w:t>
            </w:r>
            <w:r w:rsidR="008966D3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64 vlád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,</w:t>
            </w:r>
            <w:r w:rsidR="008966D3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Unie a Evropsk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á</w:t>
            </w:r>
            <w:r w:rsidR="008966D3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investiční bank</w:t>
            </w:r>
            <w:r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a</w:t>
            </w:r>
            <w:r w:rsidR="008966D3" w:rsidRPr="00FF10E0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(EIB). Unie jako taková je akcionářem (3,05% z celkového počtu hlasů) v Bance.</w:t>
            </w:r>
          </w:p>
        </w:tc>
      </w:tr>
    </w:tbl>
    <w:p w14:paraId="581714F4" w14:textId="77777777" w:rsidR="006F4F81" w:rsidRPr="00FF10E0" w:rsidRDefault="006F4F81" w:rsidP="006F4F81">
      <w:pPr>
        <w:rPr>
          <w:rFonts w:ascii="Arial" w:hAnsi="Arial" w:cs="Arial"/>
          <w:i/>
          <w:sz w:val="22"/>
          <w:szCs w:val="22"/>
          <w:lang w:val="cs-CZ" w:eastAsia="cs-CZ"/>
        </w:rPr>
      </w:pPr>
    </w:p>
    <w:p w14:paraId="60DAF0DC" w14:textId="36400C43" w:rsidR="00D10D26" w:rsidRPr="00500A12" w:rsidRDefault="006F4F81" w:rsidP="00500A12">
      <w:pPr>
        <w:jc w:val="both"/>
        <w:rPr>
          <w:rFonts w:ascii="Arial" w:eastAsia="Times New Roman" w:hAnsi="Arial" w:cs="Arial"/>
          <w:i/>
          <w:sz w:val="20"/>
          <w:szCs w:val="20"/>
          <w:lang w:val="cs-CZ"/>
        </w:rPr>
      </w:pPr>
      <w:r w:rsidRPr="00FF10E0">
        <w:rPr>
          <w:rFonts w:ascii="Arial" w:hAnsi="Arial" w:cs="Arial"/>
          <w:i/>
          <w:sz w:val="20"/>
          <w:szCs w:val="20"/>
          <w:lang w:val="cs-CZ" w:eastAsia="cs-CZ"/>
        </w:rPr>
        <w:t xml:space="preserve">Zdroj: </w:t>
      </w:r>
      <w:r w:rsidRPr="00FF10E0">
        <w:rPr>
          <w:rFonts w:ascii="Arial" w:eastAsia="Times New Roman" w:hAnsi="Arial" w:cs="Arial"/>
          <w:i/>
          <w:sz w:val="20"/>
          <w:szCs w:val="20"/>
          <w:lang w:val="cs-CZ"/>
        </w:rPr>
        <w:t>Evropská komise (říjen 2017). COMMUNICATION FROM THE COMMISSION TO THE EUROPEAN PARLIAMENT, THE COUNCIL AND THE EUROPEAN CENTRAL BANK (A roadmap for moving towards a more consistent external representation of the euro area in international fora).</w:t>
      </w:r>
    </w:p>
    <w:p w14:paraId="49FC00FA" w14:textId="77777777" w:rsidR="00A65934" w:rsidRDefault="00A65934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</w:p>
    <w:p w14:paraId="55679194" w14:textId="18D1F6F6" w:rsidR="007D4362" w:rsidRDefault="003963AB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t xml:space="preserve">Jinou </w:t>
      </w:r>
      <w:r w:rsidR="004D19C8" w:rsidRPr="00FF10E0">
        <w:rPr>
          <w:rFonts w:ascii="Arial" w:hAnsi="Arial" w:cs="Arial"/>
          <w:sz w:val="22"/>
          <w:szCs w:val="22"/>
          <w:lang w:val="cs-CZ" w:eastAsia="cs-CZ"/>
        </w:rPr>
        <w:t>otázkou zasluhující pozornost jsou snahy Číny o rozvoj alternativní</w:t>
      </w:r>
      <w:r w:rsidR="0043037F" w:rsidRPr="00FF10E0">
        <w:rPr>
          <w:rFonts w:ascii="Arial" w:hAnsi="Arial" w:cs="Arial"/>
          <w:sz w:val="22"/>
          <w:szCs w:val="22"/>
          <w:lang w:val="cs-CZ" w:eastAsia="cs-CZ"/>
        </w:rPr>
        <w:t>c</w:t>
      </w:r>
      <w:r w:rsidR="004D19C8" w:rsidRPr="00FF10E0">
        <w:rPr>
          <w:rFonts w:ascii="Arial" w:hAnsi="Arial" w:cs="Arial"/>
          <w:sz w:val="22"/>
          <w:szCs w:val="22"/>
          <w:lang w:val="cs-CZ" w:eastAsia="cs-CZ"/>
        </w:rPr>
        <w:t>h institucí typu AIIB.</w:t>
      </w:r>
      <w:r w:rsidR="0043037F" w:rsidRPr="00FF10E0">
        <w:rPr>
          <w:rFonts w:ascii="Arial" w:hAnsi="Arial" w:cs="Arial"/>
          <w:sz w:val="22"/>
          <w:szCs w:val="22"/>
          <w:lang w:val="cs-CZ" w:eastAsia="cs-CZ"/>
        </w:rPr>
        <w:t xml:space="preserve"> Při zakládání AIIB se určitou dobu sice spekulovalo, že by do projektu vstoupily i země, které hrají prim v bretton-woodských institucích, nakonec se ale vyspělé státy Evropy a USA tohoto projektu neúčastní.</w:t>
      </w:r>
      <w:r w:rsidR="00500A12">
        <w:rPr>
          <w:rFonts w:ascii="Arial" w:hAnsi="Arial" w:cs="Arial"/>
          <w:sz w:val="22"/>
          <w:szCs w:val="22"/>
          <w:lang w:val="cs-CZ" w:eastAsia="cs-CZ"/>
        </w:rPr>
        <w:t xml:space="preserve"> </w:t>
      </w:r>
    </w:p>
    <w:p w14:paraId="43CD11D5" w14:textId="44539428" w:rsidR="0043037F" w:rsidRPr="00FF10E0" w:rsidRDefault="0043037F" w:rsidP="003963AB">
      <w:pPr>
        <w:pStyle w:val="Normlnywebov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  <w:r w:rsidRPr="00FF10E0">
        <w:rPr>
          <w:rFonts w:ascii="Arial" w:hAnsi="Arial" w:cs="Arial"/>
          <w:sz w:val="22"/>
          <w:szCs w:val="22"/>
          <w:lang w:val="cs-CZ" w:eastAsia="cs-CZ"/>
        </w:rPr>
        <w:t>Česká republika má v řadě výše nastíněných otázek v institucích EU jen limitovanou vyjednávací sílu, přesto je užitečné mít zformulované jasné národní postoje pro jejich řešení.</w:t>
      </w:r>
    </w:p>
    <w:p w14:paraId="04BAC4D1" w14:textId="77777777" w:rsidR="00500A12" w:rsidRDefault="00500A12" w:rsidP="00500A12">
      <w:pPr>
        <w:rPr>
          <w:rFonts w:ascii="Arial" w:hAnsi="Arial" w:cs="Arial"/>
          <w:sz w:val="22"/>
          <w:lang w:val="cs-CZ"/>
        </w:rPr>
      </w:pPr>
    </w:p>
    <w:p w14:paraId="6C7F4476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4AB35943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11CE09F0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40E3C54B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3D69043B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070D1978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30786D45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626A3457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08E365F8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3FF7698D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04630A9F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79EDC892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1D951C75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76B2ABA8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2F70467D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65EE0D95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446BE6A5" w14:textId="77777777" w:rsidR="00500A12" w:rsidRDefault="00500A12" w:rsidP="00500A12">
      <w:pPr>
        <w:rPr>
          <w:rFonts w:ascii="Arial" w:hAnsi="Arial" w:cs="Arial"/>
          <w:b/>
          <w:sz w:val="32"/>
          <w:szCs w:val="32"/>
          <w:lang w:val="cs-CZ"/>
        </w:rPr>
      </w:pPr>
    </w:p>
    <w:p w14:paraId="4E189AA7" w14:textId="04263B4E" w:rsidR="003963AB" w:rsidRPr="00500A12" w:rsidRDefault="00653031" w:rsidP="00500A12">
      <w:pPr>
        <w:rPr>
          <w:rFonts w:ascii="Arial" w:hAnsi="Arial" w:cs="Arial"/>
          <w:sz w:val="22"/>
          <w:lang w:val="cs-CZ"/>
        </w:rPr>
      </w:pPr>
      <w:r w:rsidRPr="00EB59BC">
        <w:rPr>
          <w:rFonts w:ascii="Arial" w:hAnsi="Arial" w:cs="Arial"/>
          <w:b/>
          <w:sz w:val="32"/>
          <w:szCs w:val="32"/>
          <w:lang w:val="cs-CZ"/>
        </w:rPr>
        <w:lastRenderedPageBreak/>
        <w:t>P</w:t>
      </w:r>
      <w:r w:rsidR="00EB59BC" w:rsidRPr="00EB59BC">
        <w:rPr>
          <w:rFonts w:ascii="Arial" w:hAnsi="Arial" w:cs="Arial"/>
          <w:b/>
          <w:sz w:val="32"/>
          <w:szCs w:val="32"/>
          <w:lang w:val="cs-CZ"/>
        </w:rPr>
        <w:t>oužité zdroje</w:t>
      </w:r>
    </w:p>
    <w:p w14:paraId="6B39A658" w14:textId="77777777" w:rsidR="00500A12" w:rsidRDefault="00500A12" w:rsidP="00A7530C">
      <w:pPr>
        <w:rPr>
          <w:rFonts w:ascii="Arial" w:hAnsi="Arial" w:cs="Arial"/>
          <w:sz w:val="22"/>
          <w:szCs w:val="22"/>
          <w:lang w:val="cs-CZ"/>
        </w:rPr>
      </w:pPr>
    </w:p>
    <w:p w14:paraId="4DF6637B" w14:textId="289B5C88" w:rsidR="00A7530C" w:rsidRPr="00500A12" w:rsidRDefault="00A7530C" w:rsidP="00CD4F3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00A12">
        <w:rPr>
          <w:rFonts w:ascii="Arial" w:hAnsi="Arial" w:cs="Arial"/>
          <w:sz w:val="22"/>
          <w:szCs w:val="22"/>
          <w:lang w:val="cs-CZ"/>
        </w:rPr>
        <w:t xml:space="preserve">Directorate-General for Internal Policies of the Union (2012). External representation of the Euro area - EU Law and Publications. Dostupné </w:t>
      </w:r>
      <w:r w:rsidR="002F3FC3" w:rsidRPr="00500A12">
        <w:rPr>
          <w:rFonts w:ascii="Arial" w:hAnsi="Arial" w:cs="Arial"/>
          <w:sz w:val="22"/>
          <w:szCs w:val="22"/>
          <w:lang w:val="cs-CZ"/>
        </w:rPr>
        <w:t>z</w:t>
      </w:r>
      <w:r w:rsidRPr="00500A12">
        <w:rPr>
          <w:rFonts w:ascii="Arial" w:hAnsi="Arial" w:cs="Arial"/>
          <w:sz w:val="22"/>
          <w:szCs w:val="22"/>
          <w:lang w:val="cs-CZ"/>
        </w:rPr>
        <w:t xml:space="preserve">: </w:t>
      </w:r>
      <w:hyperlink r:id="rId19" w:history="1">
        <w:r w:rsidRPr="00500A12">
          <w:rPr>
            <w:rStyle w:val="Hypertextovprepojenie"/>
            <w:rFonts w:ascii="Arial" w:hAnsi="Arial" w:cs="Arial"/>
            <w:sz w:val="22"/>
            <w:szCs w:val="22"/>
            <w:lang w:val="cs-CZ"/>
          </w:rPr>
          <w:t>https://publications.europa.eu/en/publication-detail/-/publication/c69e2772-c308-4695-9e0f-3db3c7f15c83</w:t>
        </w:r>
      </w:hyperlink>
      <w:r w:rsidRPr="00500A1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C2E0EB1" w14:textId="77777777" w:rsidR="00A7530C" w:rsidRPr="00500A12" w:rsidRDefault="00A7530C" w:rsidP="00CD4F3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4813984" w14:textId="40848D7A" w:rsidR="006F4F81" w:rsidRPr="00500A12" w:rsidRDefault="006F4F81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Evropská komise (2015). Completing Europe's Economic and Monetary Union (THE EXTERNAL REPRESENTATION OF THE EURO). Dostupné z: </w:t>
      </w:r>
      <w:hyperlink r:id="rId20" w:history="1">
        <w:r w:rsidRPr="00500A12">
          <w:rPr>
            <w:rStyle w:val="Hypertextovprepojenie"/>
            <w:rFonts w:ascii="Arial" w:eastAsia="Times New Roman" w:hAnsi="Arial" w:cs="Arial"/>
            <w:sz w:val="22"/>
            <w:szCs w:val="22"/>
            <w:lang w:val="cs-CZ"/>
          </w:rPr>
          <w:t>https://ec.europa.eu/commission/sites/beta-political/files/5-presidents-report_en.pdf</w:t>
        </w:r>
      </w:hyperlink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</w:p>
    <w:p w14:paraId="18EBD397" w14:textId="77777777" w:rsidR="006F4F81" w:rsidRPr="00500A12" w:rsidRDefault="006F4F81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</w:p>
    <w:p w14:paraId="640B19A9" w14:textId="68565ED6" w:rsidR="005D6704" w:rsidRPr="00500A12" w:rsidRDefault="005D6704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>Evropská komise (říjen 2017). COMMUNICATION FROM THE COMMISSION TO THE EUROPEAN PARLIAMENT, THE COUNCIL AND THE EUROPEAN CENTRAL BANK (A roadmap for moving towards a more consistent external representation of the euro</w:t>
      </w:r>
    </w:p>
    <w:p w14:paraId="55E7B3A0" w14:textId="432D5FAF" w:rsidR="005D6704" w:rsidRPr="00500A12" w:rsidRDefault="005D6704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>area in international fora)</w:t>
      </w:r>
      <w:r w:rsidR="006F4F81"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. Dostupné z: </w:t>
      </w:r>
      <w:hyperlink r:id="rId21" w:history="1">
        <w:r w:rsidR="006F4F81" w:rsidRPr="00500A12">
          <w:rPr>
            <w:rStyle w:val="Hypertextovprepojenie"/>
            <w:rFonts w:ascii="Arial" w:hAnsi="Arial" w:cs="Arial"/>
            <w:sz w:val="22"/>
            <w:szCs w:val="22"/>
            <w:shd w:val="clear" w:color="auto" w:fill="FFFFFF"/>
            <w:lang w:val="cs-CZ"/>
          </w:rPr>
          <w:t>www.eesc.europa.eu/en/our.../euro-area-external-representation</w:t>
        </w:r>
      </w:hyperlink>
      <w:r w:rsidR="006F4F81" w:rsidRPr="00500A12"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  <w:t xml:space="preserve"> </w:t>
      </w:r>
    </w:p>
    <w:p w14:paraId="01B9FC15" w14:textId="77777777" w:rsidR="005D6704" w:rsidRPr="00500A12" w:rsidRDefault="005D6704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</w:p>
    <w:p w14:paraId="784DD516" w14:textId="52DBD0D7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Evropská komise (2017a). Bílá kniha o budoucnosti Evropy a jejím dalším směrování. 2017a. Dostupné </w:t>
      </w:r>
      <w:r w:rsidR="002F3FC3" w:rsidRPr="00500A12">
        <w:rPr>
          <w:rFonts w:ascii="Arial" w:eastAsia="Times New Roman" w:hAnsi="Arial" w:cs="Arial"/>
          <w:sz w:val="22"/>
          <w:szCs w:val="22"/>
          <w:lang w:val="cs-CZ"/>
        </w:rPr>
        <w:t>z</w:t>
      </w: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: </w:t>
      </w:r>
      <w:hyperlink r:id="rId22" w:history="1">
        <w:r w:rsidRPr="00500A12">
          <w:rPr>
            <w:rStyle w:val="Hypertextovprepojenie"/>
            <w:rFonts w:ascii="Arial" w:eastAsia="Times New Roman" w:hAnsi="Arial" w:cs="Arial"/>
            <w:iCs/>
            <w:sz w:val="22"/>
            <w:szCs w:val="22"/>
            <w:lang w:val="cs-CZ"/>
          </w:rPr>
          <w:t>https://ec.europa.eu/.../bila_kniha_o_budoucnosti_evropy_cs.pdf</w:t>
        </w:r>
      </w:hyperlink>
      <w:r w:rsidRPr="00500A12">
        <w:rPr>
          <w:rFonts w:ascii="Arial" w:eastAsia="Times New Roman" w:hAnsi="Arial" w:cs="Arial"/>
          <w:iCs/>
          <w:sz w:val="22"/>
          <w:szCs w:val="22"/>
          <w:lang w:val="cs-CZ"/>
        </w:rPr>
        <w:t xml:space="preserve"> </w:t>
      </w:r>
    </w:p>
    <w:p w14:paraId="5CF49969" w14:textId="77777777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</w:p>
    <w:p w14:paraId="2EAE4B0E" w14:textId="77777777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Evropská komise(2017b). Diskusní dokument o prohubení hospodářské a měnové unie. Dostupné z </w:t>
      </w:r>
      <w:hyperlink r:id="rId23" w:history="1">
        <w:r w:rsidRPr="00500A12">
          <w:rPr>
            <w:rStyle w:val="Hypertextovprepojenie"/>
            <w:rFonts w:ascii="Arial" w:eastAsia="Times New Roman" w:hAnsi="Arial" w:cs="Arial"/>
            <w:sz w:val="22"/>
            <w:szCs w:val="22"/>
            <w:lang w:val="cs-CZ"/>
          </w:rPr>
          <w:t>https://ec.europa.eu/commission/sites/beta-political/files/reflection-paper-emu_cs.pdf</w:t>
        </w:r>
      </w:hyperlink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</w:p>
    <w:p w14:paraId="6F821FDD" w14:textId="77777777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</w:p>
    <w:p w14:paraId="6E0D61EF" w14:textId="77777777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J.C. Juncker (2017). Projev o stavu unie 2017. Dostupné z: </w:t>
      </w:r>
      <w:hyperlink r:id="rId24" w:history="1">
        <w:r w:rsidRPr="00500A12">
          <w:rPr>
            <w:rStyle w:val="Hypertextovprepojenie"/>
            <w:rFonts w:ascii="Arial" w:eastAsia="Times New Roman" w:hAnsi="Arial" w:cs="Arial"/>
            <w:sz w:val="22"/>
            <w:szCs w:val="22"/>
            <w:lang w:val="cs-CZ"/>
          </w:rPr>
          <w:t>http://europa.eu/rapid/press-release_SPEECH-17-3165_cs.htm</w:t>
        </w:r>
      </w:hyperlink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</w:p>
    <w:p w14:paraId="12730962" w14:textId="0475606A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</w:p>
    <w:p w14:paraId="2600667A" w14:textId="07A468C3" w:rsidR="00A7530C" w:rsidRPr="00500A12" w:rsidRDefault="00A7530C" w:rsidP="00CD4F3B">
      <w:pPr>
        <w:jc w:val="both"/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>J.C. Junker, D. Tusk</w:t>
      </w:r>
      <w:r w:rsidR="002F3FC3"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 (červenec 2017). Joint letter G20 Hamburg. Doustupné z:</w:t>
      </w:r>
      <w:r w:rsidR="002F3FC3" w:rsidRPr="00500A12"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  <w:t xml:space="preserve"> europa.eu/rapid/press-release</w:t>
      </w:r>
      <w:r w:rsidR="006F4F81" w:rsidRPr="00500A12"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  <w:t>-</w:t>
      </w:r>
      <w:r w:rsidR="002F3FC3" w:rsidRPr="00500A12"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  <w:t>STATEMENT-17-1909</w:t>
      </w:r>
      <w:r w:rsidR="006F4F81" w:rsidRPr="00500A12"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  <w:t>-</w:t>
      </w:r>
      <w:r w:rsidR="002F3FC3" w:rsidRPr="00500A12"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  <w:t>en.pd</w:t>
      </w:r>
      <w:r w:rsidR="006F4F81" w:rsidRPr="00500A12">
        <w:rPr>
          <w:rFonts w:ascii="Arial" w:hAnsi="Arial" w:cs="Arial"/>
          <w:color w:val="006621"/>
          <w:sz w:val="22"/>
          <w:szCs w:val="22"/>
          <w:shd w:val="clear" w:color="auto" w:fill="FFFFFF"/>
          <w:lang w:val="cs-CZ"/>
        </w:rPr>
        <w:t>f</w:t>
      </w:r>
    </w:p>
    <w:p w14:paraId="6A051B3E" w14:textId="77777777" w:rsidR="002F3FC3" w:rsidRPr="00500A12" w:rsidRDefault="002F3FC3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</w:p>
    <w:p w14:paraId="623BBC4E" w14:textId="7743B1FF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J.C. Juncker, D. Tusk, J. Dijsellbloem, M. Draghi, M. Schulz (2015). Dokončení evropské hospodářské a měnové unie (Zpráva pěti předsedů). Dostupné </w:t>
      </w:r>
      <w:r w:rsidR="002F3FC3" w:rsidRPr="00500A12">
        <w:rPr>
          <w:rFonts w:ascii="Arial" w:eastAsia="Times New Roman" w:hAnsi="Arial" w:cs="Arial"/>
          <w:sz w:val="22"/>
          <w:szCs w:val="22"/>
          <w:lang w:val="cs-CZ"/>
        </w:rPr>
        <w:t>z</w:t>
      </w: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: </w:t>
      </w:r>
      <w:hyperlink r:id="rId25" w:history="1">
        <w:r w:rsidRPr="00500A12">
          <w:rPr>
            <w:rStyle w:val="Hypertextovprepojenie"/>
            <w:rFonts w:ascii="Arial" w:eastAsia="Times New Roman" w:hAnsi="Arial" w:cs="Arial"/>
            <w:sz w:val="22"/>
            <w:szCs w:val="22"/>
            <w:lang w:val="cs-CZ"/>
          </w:rPr>
          <w:t>https://ec.europa.eu/commission/priorities/economic-monetary-union/index_cs.htm</w:t>
        </w:r>
      </w:hyperlink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</w:p>
    <w:p w14:paraId="28B3F605" w14:textId="005354F5" w:rsidR="003963AB" w:rsidRPr="00500A12" w:rsidRDefault="003963AB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</w:p>
    <w:p w14:paraId="17EEE45E" w14:textId="343C57EE" w:rsidR="00A7530C" w:rsidRPr="00500A12" w:rsidRDefault="00A7530C" w:rsidP="00CD4F3B">
      <w:pPr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Více autorů (2015). The European Union's Role in the G20 (European Research Centre for Economic and Financial Governance (EURO-CEFG)). Dostupné </w:t>
      </w:r>
      <w:r w:rsidR="002F3FC3" w:rsidRPr="00500A12">
        <w:rPr>
          <w:rFonts w:ascii="Arial" w:eastAsia="Times New Roman" w:hAnsi="Arial" w:cs="Arial"/>
          <w:sz w:val="22"/>
          <w:szCs w:val="22"/>
          <w:lang w:val="cs-CZ"/>
        </w:rPr>
        <w:t>z</w:t>
      </w:r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: </w:t>
      </w:r>
      <w:hyperlink r:id="rId26" w:history="1">
        <w:r w:rsidRPr="00500A12">
          <w:rPr>
            <w:rStyle w:val="Hypertextovprepojenie"/>
            <w:rFonts w:ascii="Arial" w:eastAsia="Times New Roman" w:hAnsi="Arial" w:cs="Arial"/>
            <w:sz w:val="22"/>
            <w:szCs w:val="22"/>
            <w:lang w:val="cs-CZ"/>
          </w:rPr>
          <w:t>https://www.researchgate.net/publication/281279366_The_European_Union%27s_Role_in_the_G20</w:t>
        </w:r>
      </w:hyperlink>
      <w:r w:rsidRPr="00500A12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</w:p>
    <w:sectPr w:rsidR="00A7530C" w:rsidRPr="00500A12" w:rsidSect="00153791">
      <w:pgSz w:w="12240" w:h="15840"/>
      <w:pgMar w:top="909" w:right="1440" w:bottom="1440" w:left="1440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A821" w14:textId="77777777" w:rsidR="005765F0" w:rsidRDefault="005765F0" w:rsidP="00E9267B">
      <w:r>
        <w:separator/>
      </w:r>
    </w:p>
  </w:endnote>
  <w:endnote w:type="continuationSeparator" w:id="0">
    <w:p w14:paraId="1B0E1652" w14:textId="77777777" w:rsidR="005765F0" w:rsidRDefault="005765F0" w:rsidP="00E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74623"/>
      <w:docPartObj>
        <w:docPartGallery w:val="Page Numbers (Bottom of Page)"/>
        <w:docPartUnique/>
      </w:docPartObj>
    </w:sdtPr>
    <w:sdtEndPr/>
    <w:sdtContent>
      <w:p w14:paraId="46B3E19D" w14:textId="27EE01C3" w:rsidR="001E2426" w:rsidRDefault="001E24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5A" w:rsidRPr="00B0725A">
          <w:rPr>
            <w:noProof/>
            <w:lang w:val="cs-CZ"/>
          </w:rPr>
          <w:t>2</w:t>
        </w:r>
        <w:r>
          <w:fldChar w:fldCharType="end"/>
        </w:r>
      </w:p>
    </w:sdtContent>
  </w:sdt>
  <w:p w14:paraId="490084F6" w14:textId="77777777" w:rsidR="001E2426" w:rsidRDefault="001E24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897596"/>
      <w:docPartObj>
        <w:docPartGallery w:val="Page Numbers (Bottom of Page)"/>
        <w:docPartUnique/>
      </w:docPartObj>
    </w:sdtPr>
    <w:sdtEndPr/>
    <w:sdtContent>
      <w:p w14:paraId="7F8C1936" w14:textId="59276E02" w:rsidR="00FC3C94" w:rsidRDefault="00FC3C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5A" w:rsidRPr="00B0725A">
          <w:rPr>
            <w:noProof/>
            <w:lang w:val="cs-CZ"/>
          </w:rPr>
          <w:t>3</w:t>
        </w:r>
        <w:r>
          <w:fldChar w:fldCharType="end"/>
        </w:r>
      </w:p>
    </w:sdtContent>
  </w:sdt>
  <w:p w14:paraId="3CB0374F" w14:textId="77777777" w:rsidR="00FC3C94" w:rsidRDefault="00FC3C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91672"/>
      <w:docPartObj>
        <w:docPartGallery w:val="Page Numbers (Bottom of Page)"/>
        <w:docPartUnique/>
      </w:docPartObj>
    </w:sdtPr>
    <w:sdtEndPr/>
    <w:sdtContent>
      <w:p w14:paraId="64B37C01" w14:textId="594A69DA" w:rsidR="00FC3C94" w:rsidRDefault="00FC3C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3C94">
          <w:rPr>
            <w:noProof/>
            <w:lang w:val="cs-CZ"/>
          </w:rPr>
          <w:t>4</w:t>
        </w:r>
        <w:r>
          <w:fldChar w:fldCharType="end"/>
        </w:r>
      </w:p>
    </w:sdtContent>
  </w:sdt>
  <w:p w14:paraId="54A919B0" w14:textId="77777777" w:rsidR="00FC3C94" w:rsidRDefault="00FC3C94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232936"/>
      <w:docPartObj>
        <w:docPartGallery w:val="Page Numbers (Bottom of Page)"/>
        <w:docPartUnique/>
      </w:docPartObj>
    </w:sdtPr>
    <w:sdtEndPr/>
    <w:sdtContent>
      <w:p w14:paraId="14DC68F6" w14:textId="341BB0D4" w:rsidR="001E2426" w:rsidRDefault="001E24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94" w:rsidRPr="00FC3C94">
          <w:rPr>
            <w:noProof/>
            <w:lang w:val="cs-CZ"/>
          </w:rPr>
          <w:t>4</w:t>
        </w:r>
        <w:r>
          <w:fldChar w:fldCharType="end"/>
        </w:r>
      </w:p>
    </w:sdtContent>
  </w:sdt>
  <w:p w14:paraId="66B35698" w14:textId="77777777" w:rsidR="001E2426" w:rsidRDefault="001E2426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489185"/>
      <w:docPartObj>
        <w:docPartGallery w:val="Page Numbers (Bottom of Page)"/>
        <w:docPartUnique/>
      </w:docPartObj>
    </w:sdtPr>
    <w:sdtEndPr/>
    <w:sdtContent>
      <w:p w14:paraId="3BF735EC" w14:textId="3DDF8625" w:rsidR="001E2426" w:rsidRDefault="001E24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25A" w:rsidRPr="00B0725A">
          <w:rPr>
            <w:noProof/>
            <w:lang w:val="cs-CZ"/>
          </w:rPr>
          <w:t>7</w:t>
        </w:r>
        <w:r>
          <w:fldChar w:fldCharType="end"/>
        </w:r>
      </w:p>
    </w:sdtContent>
  </w:sdt>
  <w:p w14:paraId="4BEB2D1F" w14:textId="182EDB8D" w:rsidR="001E2426" w:rsidRPr="00313B0D" w:rsidRDefault="001E2426" w:rsidP="00313B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7D6D" w14:textId="77777777" w:rsidR="005765F0" w:rsidRDefault="005765F0" w:rsidP="00E9267B">
      <w:r>
        <w:separator/>
      </w:r>
    </w:p>
  </w:footnote>
  <w:footnote w:type="continuationSeparator" w:id="0">
    <w:p w14:paraId="64CCF3A2" w14:textId="77777777" w:rsidR="005765F0" w:rsidRDefault="005765F0" w:rsidP="00E9267B">
      <w:r>
        <w:continuationSeparator/>
      </w:r>
    </w:p>
  </w:footnote>
  <w:footnote w:id="1">
    <w:p w14:paraId="0C3AD634" w14:textId="15B9CA65" w:rsidR="001E2426" w:rsidRPr="00EB59BC" w:rsidRDefault="001E2426" w:rsidP="00500A12">
      <w:pPr>
        <w:pStyle w:val="Pta"/>
        <w:jc w:val="both"/>
        <w:rPr>
          <w:rFonts w:ascii="Arial" w:hAnsi="Arial" w:cs="Arial"/>
          <w:sz w:val="20"/>
          <w:szCs w:val="20"/>
          <w:lang w:val="cs-CZ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  <w:lang w:val="cs-CZ"/>
        </w:rPr>
        <w:t xml:space="preserve"> Posudek 2/15 Soudního dvora (pléna) 16.  května 2017 ECLI:EU:C:2017:376</w:t>
      </w:r>
    </w:p>
    <w:p w14:paraId="7E063610" w14:textId="0C1908A3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</w:p>
  </w:footnote>
  <w:footnote w:id="2">
    <w:p w14:paraId="1ED785B2" w14:textId="55D8C280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Viz např. bod 5 společného dopisu předsedy Evropské komise a předsedy Evropské rady summitu G20 v Hamburku ze 4. 7. 2017 (</w:t>
      </w:r>
      <w:hyperlink r:id="rId1" w:history="1">
        <w:r w:rsidRPr="00EB59BC">
          <w:rPr>
            <w:rStyle w:val="Hypertextovprepojenie"/>
            <w:rFonts w:ascii="Arial" w:hAnsi="Arial" w:cs="Arial"/>
            <w:sz w:val="20"/>
            <w:szCs w:val="20"/>
          </w:rPr>
          <w:t>joint letter</w:t>
        </w:r>
      </w:hyperlink>
      <w:r w:rsidRPr="00EB59BC">
        <w:rPr>
          <w:rStyle w:val="prdnormal"/>
          <w:rFonts w:ascii="Arial" w:hAnsi="Arial" w:cs="Arial"/>
          <w:sz w:val="20"/>
          <w:szCs w:val="20"/>
        </w:rPr>
        <w:t xml:space="preserve"> to EU Heads of State or Government, setting out the EU priorities for the G20 Summit which takes place on 7-8 July in Hamburg, Germany)</w:t>
      </w:r>
    </w:p>
  </w:footnote>
  <w:footnote w:id="3">
    <w:p w14:paraId="075923FC" w14:textId="235C673D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Jde o tzv. Balíček k obchodní politice zahrnující iniciativy zaměřené na vyváženost a progresivitu obchodní politiky, představený předsedou Komise J.C. Junckerem v rámci jeho projevu o stavu Unie 2017 v Bruselu 14. 9. 2017. Viz http://europa.eu/rapid/press-release_IP-17-3182_cs.htm</w:t>
      </w:r>
    </w:p>
  </w:footnote>
  <w:footnote w:id="4">
    <w:p w14:paraId="473AC3CF" w14:textId="3476AABA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Viz posudky Soudního dvora EU Posudek 1/75 ECLI:EU:C:1975:145 a 1/78 ECLI:EU:C:1979:224</w:t>
      </w:r>
    </w:p>
  </w:footnote>
  <w:footnote w:id="5">
    <w:p w14:paraId="5BD460B0" w14:textId="400C56B1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Ačkoli ustanovení SFEU rozhodných pro obsah společné obchodní politiky a uzavírání obchodních dohod (čl. 207 a 218 SFEU) je obecným pravidlem rozhodování Rady kvalifikovanou většinou, dohody zahrnující obchod se službami, obchodními aspekty duševního vlastnictví a režim přímých zahraničních investic vyžadují i po Lisabonu jednohlasné schválení v Radě EU, pokud i při přijímání vnitřních předpisů EU rozhoduje Rada jednomyslně. Jednomyslnost je vyžadována i pro dohody týkající se kulturních, audiovizuálních, sociálních, vzdělávacích, zdravotních služeb, pokud by taková dohoda zasahovala do jejich organizace na úrovni členských států (čl. 207 odst. 4 SFEU). Navíc jedná-li Rada EU (ve složení Rady pro zahraniční věci) o obchodní politice, nepředsedá jí vysoký předst</w:t>
      </w:r>
      <w:r w:rsidR="00500A12">
        <w:rPr>
          <w:rFonts w:ascii="Arial" w:hAnsi="Arial" w:cs="Arial"/>
          <w:sz w:val="20"/>
          <w:szCs w:val="20"/>
        </w:rPr>
        <w:t>avitel EU pro zahraniční věci a </w:t>
      </w:r>
      <w:r w:rsidRPr="00EB59BC">
        <w:rPr>
          <w:rFonts w:ascii="Arial" w:hAnsi="Arial" w:cs="Arial"/>
          <w:sz w:val="20"/>
          <w:szCs w:val="20"/>
        </w:rPr>
        <w:t>bezpečnostní politiku, neboť na základě prohlášení k čl. 2 odst. 5 jednacího řádu Rady byla zachována role rotujícího předsednictví, tj. principu upřednostňujícího vliv členských států před vlivem struktur EU.</w:t>
      </w:r>
    </w:p>
  </w:footnote>
  <w:footnote w:id="6">
    <w:p w14:paraId="62A443BB" w14:textId="091E4AE5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Nejasnost panovala zejména ohledně zahrnutí přímých zahraničních investic mezi výlučné pravomoci EU, konkrétně toho, zda má jít o jejich liberalizaci nebo i jejich ochranu a o vztah této nové pravomoci k již existujícím bilaterálním smlouvám členských států s třetími zeměmi.</w:t>
      </w:r>
    </w:p>
  </w:footnote>
  <w:footnote w:id="7">
    <w:p w14:paraId="1D8A26ED" w14:textId="3619E997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Podle čl. 218 odst. 6 a 8 SFEU rozhoduje Rada o uzavření obchodí dohody kvalifikovanou většinou, vyjma otázek, které i ve vnitřním rozhodování EU vyžadují jednomyslnost, resp. to radě nařizuje čl. 207 odst. 4 SFEU (viz pozn. 3 výše), a to po obdržení souhlasu Evropského parlamentu.</w:t>
      </w:r>
    </w:p>
  </w:footnote>
  <w:footnote w:id="8">
    <w:p w14:paraId="7F56FB5D" w14:textId="384F1CF4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Pokud se uzavírané obchodní smlouvy dotýkají záležitostí, které jsou v rámci vnitřního rozdělené kompetencí v rámci členského státu svěřeny federálním či autonomním celkům (jako je tomu např. v Belgii).</w:t>
      </w:r>
    </w:p>
  </w:footnote>
  <w:footnote w:id="9">
    <w:p w14:paraId="65FA3EF9" w14:textId="020F89A8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Podrobnosti ohledně schvalování CETA viz: http://euractiv.cz/clanky/obchod-a-export/obchodni-dohoda-ceta-vstupuje-v-platnost-co-obsahuje-a-jak-se-vyjednavala/</w:t>
      </w:r>
    </w:p>
  </w:footnote>
  <w:footnote w:id="10">
    <w:p w14:paraId="79BF3882" w14:textId="59D5396C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Podrobnosti belgické žádosti o posudek viz: https://diplomatie.belgium.be/en/newsroom/news/2017/minister_reynders_submits_request_opinion_ceta</w:t>
      </w:r>
    </w:p>
  </w:footnote>
  <w:footnote w:id="11">
    <w:p w14:paraId="67048F50" w14:textId="1FEC062B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Posudek 2/15 Soudního dvora (pléna) 16.  května 2017 ECLI:EU:C:2017:376</w:t>
      </w:r>
    </w:p>
  </w:footnote>
  <w:footnote w:id="12">
    <w:p w14:paraId="7B8F2C15" w14:textId="4AD19691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Na rozdíl od přímých investic, které činí investor se záměrem podílet se na řízení podniku, do něhož investuje je dle Soudního dvora znakem investic nezájem investora o zasahování do řízení podniku nebo získání kontroly nad ním (bod 227 posudku).</w:t>
      </w:r>
    </w:p>
  </w:footnote>
  <w:footnote w:id="13">
    <w:p w14:paraId="3D9BD54F" w14:textId="0397F5ED" w:rsidR="001E2426" w:rsidRPr="00EB59BC" w:rsidRDefault="001E2426" w:rsidP="0075761A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BIT = </w:t>
      </w:r>
      <w:r w:rsidRPr="00EB59B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Bilateral Investment Treaties; ICS = Investment Court System; </w:t>
      </w:r>
      <w:r w:rsidRPr="00EB59BC"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  <w:t>ISDS = Investor-state Dispute Settlement</w:t>
      </w:r>
    </w:p>
  </w:footnote>
  <w:footnote w:id="14">
    <w:p w14:paraId="08908D9C" w14:textId="232389B4" w:rsidR="001E2426" w:rsidRPr="00EB59BC" w:rsidRDefault="001E2426" w:rsidP="0075761A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Evropská komise, PŘÍLOHA Doporučení pro rozhodnutí Rady </w:t>
      </w:r>
      <w:r w:rsidR="00A65934">
        <w:rPr>
          <w:rFonts w:ascii="Arial" w:hAnsi="Arial" w:cs="Arial"/>
          <w:sz w:val="20"/>
          <w:szCs w:val="20"/>
        </w:rPr>
        <w:t>o zmocnění k zahájení jednání o </w:t>
      </w:r>
      <w:r w:rsidRPr="00EB59BC">
        <w:rPr>
          <w:rFonts w:ascii="Arial" w:hAnsi="Arial" w:cs="Arial"/>
          <w:sz w:val="20"/>
          <w:szCs w:val="20"/>
        </w:rPr>
        <w:t>dohodě o volném obchodu s Austrálii. Brusel 13.9.2017 COM(2017) 472 final, s. 6.</w:t>
      </w:r>
    </w:p>
  </w:footnote>
  <w:footnote w:id="15">
    <w:p w14:paraId="472B5633" w14:textId="7ECED0C3" w:rsidR="001E2426" w:rsidRPr="00EB59BC" w:rsidRDefault="001E2426" w:rsidP="0075761A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Soudní dvůr se k této kompetenční otázce nepochybně vyjádří v rámci posudku k mechanismu řešení investičních sporů, která je zahrnut do smlouvy CETA mezi EU a Kanadou. Z jeho dřívějších rozhodnutí je však zřejmé, že jednotný výklad práva EU a svou výlučnou roli v něm, neústupně střeží (viz např. posudek 2/13 slučitelnosti návrhu dohody o přistoupení EU k EÚLP se zákládajícími smlouvami EU).</w:t>
      </w:r>
    </w:p>
  </w:footnote>
  <w:footnote w:id="16">
    <w:p w14:paraId="0983A299" w14:textId="24BB3F64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</w:t>
      </w:r>
      <w:r w:rsidR="003C61AF">
        <w:rPr>
          <w:rFonts w:ascii="Arial" w:hAnsi="Arial" w:cs="Arial"/>
          <w:sz w:val="20"/>
          <w:szCs w:val="20"/>
        </w:rPr>
        <w:t xml:space="preserve">Viz </w:t>
      </w:r>
      <w:r w:rsidRPr="00FF10E0">
        <w:rPr>
          <w:rFonts w:ascii="Arial" w:hAnsi="Arial" w:cs="Arial"/>
          <w:sz w:val="20"/>
          <w:szCs w:val="20"/>
        </w:rPr>
        <w:t>http://trade.ec.europa.eu/doclib/press/index.cfm?id=1395</w:t>
      </w:r>
      <w:r w:rsidR="003C61AF">
        <w:rPr>
          <w:rFonts w:ascii="Arial" w:hAnsi="Arial" w:cs="Arial"/>
          <w:sz w:val="20"/>
          <w:szCs w:val="20"/>
        </w:rPr>
        <w:t>.</w:t>
      </w:r>
    </w:p>
  </w:footnote>
  <w:footnote w:id="17">
    <w:p w14:paraId="62B7D733" w14:textId="0568D5CE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Na intra-unijní investice se v právu EU vztahuje svoboda pohybu kapitálu, která může být v nezbytné a přiměřené míře omezena z důvodů veřejné bezpečnosti a dalších naléhavých důvodů obecného zájmu přijímajícího členského státu.</w:t>
      </w:r>
    </w:p>
  </w:footnote>
  <w:footnote w:id="18">
    <w:p w14:paraId="4E2368C5" w14:textId="0F32C543" w:rsidR="001E2426" w:rsidRPr="00EB59BC" w:rsidRDefault="001E2426" w:rsidP="00500A12">
      <w:pPr>
        <w:pStyle w:val="Textpoznmkypodiarou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Podrobněji viz Commission Staff Working Document Accompanying the document Proposal for a Regulation of the European Parliament and of the Council establishing as framework for screening of foreign investments in the European Union. Brussels 13. 9. 2017 COM(2017) 487 final.</w:t>
      </w:r>
    </w:p>
  </w:footnote>
  <w:footnote w:id="19">
    <w:p w14:paraId="09980E06" w14:textId="7A15F6D9" w:rsidR="001E2426" w:rsidRPr="00EB59BC" w:rsidRDefault="001E2426" w:rsidP="00500A12">
      <w:pPr>
        <w:pStyle w:val="Textpoznmkypodiarou"/>
        <w:ind w:firstLine="0"/>
        <w:rPr>
          <w:rFonts w:ascii="Arial" w:hAnsi="Arial" w:cs="Arial"/>
          <w:sz w:val="20"/>
          <w:szCs w:val="20"/>
        </w:rPr>
      </w:pPr>
      <w:r w:rsidRPr="00EB59BC">
        <w:rPr>
          <w:rStyle w:val="Odkaznapoznmkupodiarou"/>
          <w:rFonts w:ascii="Arial" w:hAnsi="Arial" w:cs="Arial"/>
          <w:sz w:val="20"/>
          <w:szCs w:val="20"/>
        </w:rPr>
        <w:footnoteRef/>
      </w:r>
      <w:r w:rsidRPr="00EB59BC">
        <w:rPr>
          <w:rFonts w:ascii="Arial" w:hAnsi="Arial" w:cs="Arial"/>
          <w:sz w:val="20"/>
          <w:szCs w:val="20"/>
        </w:rPr>
        <w:t xml:space="preserve"> Evropská Komise. Návrh Nařízení Evropského Parlamentu a Rady, kterým se stanoví rámec pro prověřování přímých zahraničních investic do Evropské unie. Brusel 13. 9. 2017COM(2017) 487 final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76474" w14:textId="596DD080" w:rsidR="001E2426" w:rsidRDefault="001E2426" w:rsidP="003B7D14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64E49604" wp14:editId="305BF74A">
          <wp:extent cx="1020150" cy="765113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60-195-430-289-1613-117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07" cy="76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FEE8" w14:textId="77777777" w:rsidR="00FC3C94" w:rsidRDefault="00FC3C94" w:rsidP="003B7D14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44DFFA05" wp14:editId="5F877D30">
          <wp:extent cx="1020150" cy="76511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60-195-430-289-1613-117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07" cy="76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9051" w14:textId="77777777" w:rsidR="00FC3C94" w:rsidRDefault="00FC3C94" w:rsidP="003B7D14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6BDA7F70" wp14:editId="3857E632">
          <wp:extent cx="1020150" cy="765113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60-195-430-289-1613-117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07" cy="76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74A9" w14:textId="77777777" w:rsidR="001E2426" w:rsidRDefault="001E2426" w:rsidP="003B7D14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76245DBF" wp14:editId="6C2D51BC">
          <wp:extent cx="1020150" cy="765113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60-195-430-289-1613-117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07" cy="76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1DD3"/>
    <w:multiLevelType w:val="hybridMultilevel"/>
    <w:tmpl w:val="AB4E3DEC"/>
    <w:lvl w:ilvl="0" w:tplc="5DF86EC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F38"/>
    <w:multiLevelType w:val="hybridMultilevel"/>
    <w:tmpl w:val="CF42A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C9A"/>
    <w:multiLevelType w:val="hybridMultilevel"/>
    <w:tmpl w:val="1A9C401E"/>
    <w:lvl w:ilvl="0" w:tplc="5DF86EC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3279"/>
    <w:multiLevelType w:val="hybridMultilevel"/>
    <w:tmpl w:val="5C3CCD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F2432"/>
    <w:multiLevelType w:val="hybridMultilevel"/>
    <w:tmpl w:val="040C7E12"/>
    <w:lvl w:ilvl="0" w:tplc="5DF86EC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D5C"/>
    <w:multiLevelType w:val="hybridMultilevel"/>
    <w:tmpl w:val="60E49160"/>
    <w:lvl w:ilvl="0" w:tplc="5DF86EC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3E43E3"/>
    <w:multiLevelType w:val="hybridMultilevel"/>
    <w:tmpl w:val="23942846"/>
    <w:lvl w:ilvl="0" w:tplc="5DF86EC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66F0"/>
    <w:multiLevelType w:val="hybridMultilevel"/>
    <w:tmpl w:val="C6786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288"/>
    <w:multiLevelType w:val="hybridMultilevel"/>
    <w:tmpl w:val="F4DC2B62"/>
    <w:lvl w:ilvl="0" w:tplc="B79209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612A4"/>
    <w:multiLevelType w:val="hybridMultilevel"/>
    <w:tmpl w:val="712C42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0"/>
    <w:rsid w:val="00000AED"/>
    <w:rsid w:val="00013819"/>
    <w:rsid w:val="000403EA"/>
    <w:rsid w:val="00045CA9"/>
    <w:rsid w:val="000636B0"/>
    <w:rsid w:val="00066F32"/>
    <w:rsid w:val="0008182D"/>
    <w:rsid w:val="0009122E"/>
    <w:rsid w:val="00094984"/>
    <w:rsid w:val="000A2C5C"/>
    <w:rsid w:val="000E1DC4"/>
    <w:rsid w:val="000F688B"/>
    <w:rsid w:val="00120C9B"/>
    <w:rsid w:val="00153791"/>
    <w:rsid w:val="00163553"/>
    <w:rsid w:val="001679F4"/>
    <w:rsid w:val="001817D5"/>
    <w:rsid w:val="00184B81"/>
    <w:rsid w:val="001C6BD5"/>
    <w:rsid w:val="001E0257"/>
    <w:rsid w:val="001E2426"/>
    <w:rsid w:val="001E727A"/>
    <w:rsid w:val="001E77E2"/>
    <w:rsid w:val="0020560B"/>
    <w:rsid w:val="00223189"/>
    <w:rsid w:val="002341B3"/>
    <w:rsid w:val="00261FA3"/>
    <w:rsid w:val="002631FB"/>
    <w:rsid w:val="0028559A"/>
    <w:rsid w:val="002C564D"/>
    <w:rsid w:val="002D387C"/>
    <w:rsid w:val="002E0C6A"/>
    <w:rsid w:val="002E2AD3"/>
    <w:rsid w:val="002F332E"/>
    <w:rsid w:val="002F3FC3"/>
    <w:rsid w:val="00313B0D"/>
    <w:rsid w:val="00316186"/>
    <w:rsid w:val="003963AB"/>
    <w:rsid w:val="003B5B54"/>
    <w:rsid w:val="003B7D14"/>
    <w:rsid w:val="003C47F0"/>
    <w:rsid w:val="003C61AF"/>
    <w:rsid w:val="003E4376"/>
    <w:rsid w:val="003E4779"/>
    <w:rsid w:val="003E4D09"/>
    <w:rsid w:val="003E74E7"/>
    <w:rsid w:val="003F0C72"/>
    <w:rsid w:val="0042526E"/>
    <w:rsid w:val="0043037F"/>
    <w:rsid w:val="00431470"/>
    <w:rsid w:val="00446662"/>
    <w:rsid w:val="00462B53"/>
    <w:rsid w:val="00474F88"/>
    <w:rsid w:val="00492402"/>
    <w:rsid w:val="004970D2"/>
    <w:rsid w:val="004A3BDC"/>
    <w:rsid w:val="004B6E33"/>
    <w:rsid w:val="004C7A1B"/>
    <w:rsid w:val="004D19C8"/>
    <w:rsid w:val="004F5B5C"/>
    <w:rsid w:val="0050094B"/>
    <w:rsid w:val="00500A12"/>
    <w:rsid w:val="00530530"/>
    <w:rsid w:val="00556EFC"/>
    <w:rsid w:val="00563BBB"/>
    <w:rsid w:val="0057324B"/>
    <w:rsid w:val="005765F0"/>
    <w:rsid w:val="005C04DC"/>
    <w:rsid w:val="005C6407"/>
    <w:rsid w:val="005D6704"/>
    <w:rsid w:val="005E706D"/>
    <w:rsid w:val="00621214"/>
    <w:rsid w:val="0064228A"/>
    <w:rsid w:val="006479AA"/>
    <w:rsid w:val="00653031"/>
    <w:rsid w:val="0067789C"/>
    <w:rsid w:val="006A143D"/>
    <w:rsid w:val="006D06CC"/>
    <w:rsid w:val="006E18EF"/>
    <w:rsid w:val="006F4F81"/>
    <w:rsid w:val="007030B6"/>
    <w:rsid w:val="00714D22"/>
    <w:rsid w:val="00717DB8"/>
    <w:rsid w:val="007324A8"/>
    <w:rsid w:val="00741E1A"/>
    <w:rsid w:val="0075761A"/>
    <w:rsid w:val="00776A77"/>
    <w:rsid w:val="00786653"/>
    <w:rsid w:val="0079363D"/>
    <w:rsid w:val="007D4362"/>
    <w:rsid w:val="007E45E8"/>
    <w:rsid w:val="007F6D14"/>
    <w:rsid w:val="00812EE9"/>
    <w:rsid w:val="00820BEA"/>
    <w:rsid w:val="00823D15"/>
    <w:rsid w:val="008263AF"/>
    <w:rsid w:val="00836999"/>
    <w:rsid w:val="00856402"/>
    <w:rsid w:val="00865FB9"/>
    <w:rsid w:val="00876F3D"/>
    <w:rsid w:val="008966D3"/>
    <w:rsid w:val="008A0719"/>
    <w:rsid w:val="00906D71"/>
    <w:rsid w:val="00920A65"/>
    <w:rsid w:val="009228AE"/>
    <w:rsid w:val="00956149"/>
    <w:rsid w:val="00970929"/>
    <w:rsid w:val="00970D38"/>
    <w:rsid w:val="00976657"/>
    <w:rsid w:val="00994C9E"/>
    <w:rsid w:val="00996DE7"/>
    <w:rsid w:val="009A2590"/>
    <w:rsid w:val="009A624E"/>
    <w:rsid w:val="009C1473"/>
    <w:rsid w:val="009D0A9B"/>
    <w:rsid w:val="009F1572"/>
    <w:rsid w:val="009F4D82"/>
    <w:rsid w:val="00A04F13"/>
    <w:rsid w:val="00A173C1"/>
    <w:rsid w:val="00A46979"/>
    <w:rsid w:val="00A65934"/>
    <w:rsid w:val="00A7530C"/>
    <w:rsid w:val="00A757C0"/>
    <w:rsid w:val="00A84B35"/>
    <w:rsid w:val="00A95586"/>
    <w:rsid w:val="00AA4059"/>
    <w:rsid w:val="00AB2DD5"/>
    <w:rsid w:val="00AC6C6B"/>
    <w:rsid w:val="00AE0CCE"/>
    <w:rsid w:val="00AE2DCE"/>
    <w:rsid w:val="00AF0858"/>
    <w:rsid w:val="00AF123E"/>
    <w:rsid w:val="00AF47F9"/>
    <w:rsid w:val="00B0725A"/>
    <w:rsid w:val="00B23081"/>
    <w:rsid w:val="00B30BCA"/>
    <w:rsid w:val="00B37774"/>
    <w:rsid w:val="00B5335F"/>
    <w:rsid w:val="00B547CF"/>
    <w:rsid w:val="00B561CB"/>
    <w:rsid w:val="00B705FC"/>
    <w:rsid w:val="00B72650"/>
    <w:rsid w:val="00B92545"/>
    <w:rsid w:val="00BB4621"/>
    <w:rsid w:val="00BC4D57"/>
    <w:rsid w:val="00BC6541"/>
    <w:rsid w:val="00BD3596"/>
    <w:rsid w:val="00BF1466"/>
    <w:rsid w:val="00BF26C6"/>
    <w:rsid w:val="00C03CCC"/>
    <w:rsid w:val="00C33765"/>
    <w:rsid w:val="00C531EF"/>
    <w:rsid w:val="00C55583"/>
    <w:rsid w:val="00C55633"/>
    <w:rsid w:val="00C74E97"/>
    <w:rsid w:val="00C80E26"/>
    <w:rsid w:val="00CC0C70"/>
    <w:rsid w:val="00CD1BD6"/>
    <w:rsid w:val="00CD4F3B"/>
    <w:rsid w:val="00D10D26"/>
    <w:rsid w:val="00D17309"/>
    <w:rsid w:val="00D17CDC"/>
    <w:rsid w:val="00D244EF"/>
    <w:rsid w:val="00D2460C"/>
    <w:rsid w:val="00D82BD4"/>
    <w:rsid w:val="00DA54E4"/>
    <w:rsid w:val="00DB0820"/>
    <w:rsid w:val="00DC17E8"/>
    <w:rsid w:val="00DD7700"/>
    <w:rsid w:val="00E0416A"/>
    <w:rsid w:val="00E11D83"/>
    <w:rsid w:val="00E202A6"/>
    <w:rsid w:val="00E36C8D"/>
    <w:rsid w:val="00E44250"/>
    <w:rsid w:val="00E45795"/>
    <w:rsid w:val="00E52880"/>
    <w:rsid w:val="00E539CE"/>
    <w:rsid w:val="00E54A88"/>
    <w:rsid w:val="00E60802"/>
    <w:rsid w:val="00E61B69"/>
    <w:rsid w:val="00E77E8B"/>
    <w:rsid w:val="00E9267B"/>
    <w:rsid w:val="00EB064B"/>
    <w:rsid w:val="00EB59BC"/>
    <w:rsid w:val="00EC506F"/>
    <w:rsid w:val="00EE4444"/>
    <w:rsid w:val="00F86AD0"/>
    <w:rsid w:val="00FC3C94"/>
    <w:rsid w:val="00FD2100"/>
    <w:rsid w:val="00FE047F"/>
    <w:rsid w:val="00FE3A4D"/>
    <w:rsid w:val="00FF01BA"/>
    <w:rsid w:val="00FF10E0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BE92"/>
  <w15:docId w15:val="{E50BE825-8716-42D7-A121-70D7152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25B0"/>
  </w:style>
  <w:style w:type="paragraph" w:styleId="Nadpis1">
    <w:name w:val="heading 1"/>
    <w:basedOn w:val="Normlny"/>
    <w:link w:val="Nadpis1Char"/>
    <w:uiPriority w:val="9"/>
    <w:qFormat/>
    <w:rsid w:val="00563B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6E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F25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F25B0"/>
    <w:rPr>
      <w:color w:val="0563C1" w:themeColor="hyperlink"/>
      <w:u w:val="single"/>
    </w:rPr>
  </w:style>
  <w:style w:type="paragraph" w:customStyle="1" w:styleId="a">
    <w:uiPriority w:val="20"/>
    <w:qFormat/>
    <w:rsid w:val="00FE047F"/>
  </w:style>
  <w:style w:type="character" w:styleId="Zvraznenie">
    <w:name w:val="Emphasis"/>
    <w:basedOn w:val="Predvolenpsmoodseku"/>
    <w:uiPriority w:val="20"/>
    <w:qFormat/>
    <w:rsid w:val="00FE047F"/>
    <w:rPr>
      <w:i/>
      <w:iCs/>
    </w:rPr>
  </w:style>
  <w:style w:type="character" w:styleId="Siln">
    <w:name w:val="Strong"/>
    <w:uiPriority w:val="22"/>
    <w:qFormat/>
    <w:rsid w:val="00FE047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261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1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1F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FA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F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705FC"/>
    <w:pPr>
      <w:spacing w:after="200" w:line="276" w:lineRule="auto"/>
      <w:ind w:left="720"/>
      <w:contextualSpacing/>
    </w:pPr>
    <w:rPr>
      <w:sz w:val="22"/>
      <w:szCs w:val="22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2590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E9267B"/>
    <w:pPr>
      <w:autoSpaceDE w:val="0"/>
      <w:autoSpaceDN w:val="0"/>
      <w:ind w:firstLine="284"/>
      <w:jc w:val="both"/>
    </w:pPr>
    <w:rPr>
      <w:rFonts w:ascii="Times New Roman" w:eastAsia="Times New Roman" w:hAnsi="Times New Roman" w:cs="Times New Roman"/>
      <w:sz w:val="22"/>
      <w:szCs w:val="22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9267B"/>
    <w:rPr>
      <w:rFonts w:ascii="Times New Roman" w:eastAsia="Times New Roman" w:hAnsi="Times New Roman" w:cs="Times New Roman"/>
      <w:sz w:val="22"/>
      <w:szCs w:val="22"/>
      <w:lang w:val="cs-CZ" w:eastAsia="cs-CZ"/>
    </w:rPr>
  </w:style>
  <w:style w:type="character" w:styleId="Odkaznapoznmkupodiarou">
    <w:name w:val="footnote reference"/>
    <w:uiPriority w:val="99"/>
    <w:rsid w:val="00E9267B"/>
    <w:rPr>
      <w:vertAlign w:val="superscript"/>
    </w:rPr>
  </w:style>
  <w:style w:type="paragraph" w:customStyle="1" w:styleId="Default">
    <w:name w:val="Default"/>
    <w:rsid w:val="00E9267B"/>
    <w:pPr>
      <w:autoSpaceDE w:val="0"/>
      <w:autoSpaceDN w:val="0"/>
      <w:adjustRightInd w:val="0"/>
    </w:pPr>
    <w:rPr>
      <w:rFonts w:ascii="Corbel" w:hAnsi="Corbel" w:cs="Corbel"/>
      <w:color w:val="00000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926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267B"/>
  </w:style>
  <w:style w:type="paragraph" w:styleId="Pta">
    <w:name w:val="footer"/>
    <w:basedOn w:val="Normlny"/>
    <w:link w:val="PtaChar"/>
    <w:uiPriority w:val="99"/>
    <w:unhideWhenUsed/>
    <w:rsid w:val="00E926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267B"/>
  </w:style>
  <w:style w:type="character" w:customStyle="1" w:styleId="Nevyeenzmnka1">
    <w:name w:val="Nevyřešená zmínka1"/>
    <w:basedOn w:val="Predvolenpsmoodseku"/>
    <w:uiPriority w:val="99"/>
    <w:semiHidden/>
    <w:unhideWhenUsed/>
    <w:rsid w:val="00153791"/>
    <w:rPr>
      <w:color w:val="808080"/>
      <w:shd w:val="clear" w:color="auto" w:fill="E6E6E6"/>
    </w:rPr>
  </w:style>
  <w:style w:type="character" w:customStyle="1" w:styleId="prdnormal">
    <w:name w:val="prdnormal"/>
    <w:basedOn w:val="Predvolenpsmoodseku"/>
    <w:rsid w:val="00B37774"/>
  </w:style>
  <w:style w:type="character" w:customStyle="1" w:styleId="Nadpis1Char">
    <w:name w:val="Nadpis 1 Char"/>
    <w:basedOn w:val="Predvolenpsmoodseku"/>
    <w:link w:val="Nadpis1"/>
    <w:uiPriority w:val="9"/>
    <w:rsid w:val="00563BBB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table" w:customStyle="1" w:styleId="Svtlmkatabulky1">
    <w:name w:val="Světlá mřížka tabulky1"/>
    <w:basedOn w:val="Normlnatabuka"/>
    <w:uiPriority w:val="40"/>
    <w:rsid w:val="00FD21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244E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244EF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244EF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6E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A7530C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1817D5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181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817D5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s://www.researchgate.net/publication/281279366_The_European_Union%27s_Role_in_the_G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esc.europa.eu/en/our.../euro-area-external-representatio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hyperlink" Target="https://ec.europa.eu/commission/priorities/economic-monetary-union/index_cs.ht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ec.europa.eu/commission/sites/beta-political/files/5-presidents-report_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uropa.eu/rapid/press-release_SPEECH-17-3165_c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c.europa.eu/commission/sites/beta-political/files/reflection-paper-emu_cs.pdf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publications.europa.eu/en/publication-detail/-/publication/c69e2772-c308-4695-9e0f-3db3c7f15c8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ec.europa.eu/.../bila_kniha_o_budoucnosti_evropy_cs.pdf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.eu/rapid/attachment/STATEMENT-17-1909/en/Joint-letter-G20-Hambur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9B76-98B7-4A19-AD06-831E4201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5763</Words>
  <Characters>32854</Characters>
  <Application>Microsoft Office Word</Application>
  <DocSecurity>0</DocSecurity>
  <Lines>273</Lines>
  <Paragraphs>77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Vysoká škola</Company>
  <LinksUpToDate>false</LinksUpToDate>
  <CharactersWithSpaces>38540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Jarolím Antal</dc:creator>
  <cp:lastModifiedBy>AA</cp:lastModifiedBy>
  <cp:revision>13</cp:revision>
  <cp:lastPrinted>2017-09-25T13:33:00Z</cp:lastPrinted>
  <dcterms:created xsi:type="dcterms:W3CDTF">2017-11-30T09:08:00Z</dcterms:created>
  <dcterms:modified xsi:type="dcterms:W3CDTF">2017-12-04T22:18:00Z</dcterms:modified>
</cp:coreProperties>
</file>